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54E1" w14:textId="77777777" w:rsidR="006F32D4" w:rsidRDefault="006F32D4" w:rsidP="006F32D4">
      <w:pPr>
        <w:tabs>
          <w:tab w:val="left" w:pos="1452"/>
        </w:tabs>
      </w:pPr>
      <w:r>
        <w:rPr>
          <w:noProof/>
        </w:rPr>
        <w:drawing>
          <wp:inline distT="0" distB="0" distL="0" distR="0" wp14:anchorId="08B3C961" wp14:editId="744141B6">
            <wp:extent cx="1988820" cy="778337"/>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319" cy="800448"/>
                    </a:xfrm>
                    <a:prstGeom prst="rect">
                      <a:avLst/>
                    </a:prstGeom>
                  </pic:spPr>
                </pic:pic>
              </a:graphicData>
            </a:graphic>
          </wp:inline>
        </w:drawing>
      </w:r>
    </w:p>
    <w:p w14:paraId="40903F16" w14:textId="77777777" w:rsidR="006F32D4" w:rsidRDefault="006F32D4" w:rsidP="006F32D4">
      <w:pPr>
        <w:pBdr>
          <w:top w:val="single" w:sz="4" w:space="1" w:color="auto"/>
          <w:left w:val="single" w:sz="4" w:space="4" w:color="auto"/>
          <w:bottom w:val="single" w:sz="4" w:space="1" w:color="auto"/>
          <w:right w:val="single" w:sz="4" w:space="4" w:color="auto"/>
        </w:pBdr>
        <w:jc w:val="center"/>
        <w:rPr>
          <w:rFonts w:ascii="Arial-BoldMT" w:hAnsi="Arial-BoldMT" w:cs="Arial-BoldMT"/>
          <w:b/>
          <w:bCs/>
          <w:sz w:val="32"/>
          <w:szCs w:val="32"/>
        </w:rPr>
      </w:pPr>
      <w:r w:rsidRPr="00BC7A38">
        <w:rPr>
          <w:rFonts w:ascii="Arial-BoldMT" w:hAnsi="Arial-BoldMT" w:cs="Arial-BoldMT"/>
          <w:b/>
          <w:bCs/>
          <w:sz w:val="32"/>
          <w:szCs w:val="32"/>
        </w:rPr>
        <w:t xml:space="preserve">Appel à projets </w:t>
      </w:r>
    </w:p>
    <w:p w14:paraId="78D118DD" w14:textId="77777777" w:rsidR="006F32D4" w:rsidRDefault="006F32D4" w:rsidP="006F32D4">
      <w:pPr>
        <w:pBdr>
          <w:top w:val="single" w:sz="4" w:space="1" w:color="auto"/>
          <w:left w:val="single" w:sz="4" w:space="4" w:color="auto"/>
          <w:bottom w:val="single" w:sz="4" w:space="1" w:color="auto"/>
          <w:right w:val="single" w:sz="4" w:space="4" w:color="auto"/>
        </w:pBdr>
        <w:jc w:val="center"/>
        <w:rPr>
          <w:rFonts w:ascii="Arial-BoldMT" w:hAnsi="Arial-BoldMT" w:cs="Arial-BoldMT"/>
          <w:b/>
          <w:bCs/>
          <w:sz w:val="32"/>
          <w:szCs w:val="32"/>
        </w:rPr>
      </w:pPr>
      <w:r>
        <w:rPr>
          <w:rFonts w:ascii="Arial-BoldMT" w:hAnsi="Arial-BoldMT" w:cs="Arial-BoldMT"/>
          <w:b/>
          <w:bCs/>
          <w:sz w:val="32"/>
          <w:szCs w:val="32"/>
        </w:rPr>
        <w:t>P</w:t>
      </w:r>
      <w:r w:rsidRPr="00BC7A38">
        <w:rPr>
          <w:rFonts w:ascii="Arial-BoldMT" w:hAnsi="Arial-BoldMT" w:cs="Arial-BoldMT"/>
          <w:b/>
          <w:bCs/>
          <w:sz w:val="32"/>
          <w:szCs w:val="32"/>
        </w:rPr>
        <w:t>arcours de renforcement des compétences</w:t>
      </w:r>
    </w:p>
    <w:p w14:paraId="08FFFF88" w14:textId="10D21EE4" w:rsidR="006F32D4" w:rsidRDefault="006F32D4" w:rsidP="006F32D4">
      <w:pPr>
        <w:pBdr>
          <w:top w:val="single" w:sz="4" w:space="1" w:color="auto"/>
          <w:left w:val="single" w:sz="4" w:space="4" w:color="auto"/>
          <w:bottom w:val="single" w:sz="4" w:space="1" w:color="auto"/>
          <w:right w:val="single" w:sz="4" w:space="4" w:color="auto"/>
        </w:pBdr>
        <w:jc w:val="center"/>
        <w:rPr>
          <w:rFonts w:ascii="Arial-BoldMT" w:hAnsi="Arial-BoldMT" w:cs="Arial-BoldMT"/>
          <w:b/>
          <w:bCs/>
          <w:sz w:val="32"/>
          <w:szCs w:val="32"/>
        </w:rPr>
      </w:pPr>
      <w:r>
        <w:rPr>
          <w:rFonts w:ascii="Arial-BoldMT" w:hAnsi="Arial-BoldMT" w:cs="Arial-BoldMT"/>
          <w:b/>
          <w:bCs/>
          <w:sz w:val="32"/>
          <w:szCs w:val="32"/>
        </w:rPr>
        <w:t>FAQ</w:t>
      </w:r>
    </w:p>
    <w:p w14:paraId="0602C361" w14:textId="77777777" w:rsidR="00F0320D" w:rsidRDefault="00FA33A9"/>
    <w:p w14:paraId="132DC840" w14:textId="2F07CE79" w:rsidR="00814503" w:rsidRDefault="00814503">
      <w:r w:rsidRPr="0004686D">
        <w:rPr>
          <w:b/>
          <w:bCs/>
        </w:rPr>
        <w:t>Version du</w:t>
      </w:r>
      <w:r w:rsidR="0004686D" w:rsidRPr="0004686D">
        <w:rPr>
          <w:b/>
          <w:bCs/>
        </w:rPr>
        <w:t> :</w:t>
      </w:r>
      <w:r w:rsidR="0004686D">
        <w:t xml:space="preserve"> 1</w:t>
      </w:r>
      <w:r w:rsidR="00AB0536">
        <w:t>4</w:t>
      </w:r>
      <w:r w:rsidR="0004686D">
        <w:t xml:space="preserve"> juin 2022</w:t>
      </w:r>
    </w:p>
    <w:p w14:paraId="2311B945" w14:textId="77777777" w:rsidR="0004686D" w:rsidRDefault="0004686D"/>
    <w:p w14:paraId="23C1B64B" w14:textId="12DA2C0A" w:rsidR="00965E9B" w:rsidRPr="00814503" w:rsidRDefault="00965E9B">
      <w:pPr>
        <w:rPr>
          <w:b/>
          <w:bCs/>
        </w:rPr>
      </w:pPr>
      <w:r w:rsidRPr="00814503">
        <w:rPr>
          <w:b/>
          <w:bCs/>
        </w:rPr>
        <w:t>Structure</w:t>
      </w:r>
      <w:r w:rsidR="00712F8B" w:rsidRPr="00814503">
        <w:rPr>
          <w:b/>
          <w:bCs/>
        </w:rPr>
        <w:t xml:space="preserve"> de la FAQ :</w:t>
      </w:r>
    </w:p>
    <w:p w14:paraId="659C83F0" w14:textId="1193881E" w:rsidR="00712F8B" w:rsidRDefault="00712F8B" w:rsidP="00712F8B">
      <w:pPr>
        <w:pStyle w:val="Paragraphedeliste"/>
        <w:numPr>
          <w:ilvl w:val="0"/>
          <w:numId w:val="1"/>
        </w:numPr>
      </w:pPr>
      <w:r>
        <w:t>Public AP</w:t>
      </w:r>
    </w:p>
    <w:p w14:paraId="3073EA7C" w14:textId="61F32E8B" w:rsidR="00712F8B" w:rsidRDefault="00712F8B" w:rsidP="00712F8B">
      <w:pPr>
        <w:pStyle w:val="Paragraphedeliste"/>
        <w:numPr>
          <w:ilvl w:val="0"/>
          <w:numId w:val="1"/>
        </w:numPr>
      </w:pPr>
      <w:proofErr w:type="gramStart"/>
      <w:r>
        <w:t>Timing</w:t>
      </w:r>
      <w:proofErr w:type="gramEnd"/>
      <w:r>
        <w:t xml:space="preserve"> AP</w:t>
      </w:r>
    </w:p>
    <w:p w14:paraId="3AF7B2EE" w14:textId="39AC3CD3" w:rsidR="00712F8B" w:rsidRDefault="00712F8B" w:rsidP="00712F8B">
      <w:pPr>
        <w:pStyle w:val="Paragraphedeliste"/>
        <w:numPr>
          <w:ilvl w:val="0"/>
          <w:numId w:val="1"/>
        </w:numPr>
      </w:pPr>
      <w:r>
        <w:t>Objectifs AP</w:t>
      </w:r>
    </w:p>
    <w:p w14:paraId="4756B630" w14:textId="05DA2B70" w:rsidR="00712F8B" w:rsidRDefault="00712F8B" w:rsidP="00424F17">
      <w:pPr>
        <w:pStyle w:val="Paragraphedeliste"/>
        <w:numPr>
          <w:ilvl w:val="0"/>
          <w:numId w:val="1"/>
        </w:numPr>
        <w:spacing w:before="0" w:after="0"/>
        <w:contextualSpacing w:val="0"/>
      </w:pPr>
      <w:r>
        <w:t>Conditions de participation</w:t>
      </w:r>
    </w:p>
    <w:p w14:paraId="6BCBA0F8" w14:textId="5153246E" w:rsidR="00D86FDD" w:rsidRPr="007A52D2" w:rsidRDefault="00816183" w:rsidP="00424F17">
      <w:pPr>
        <w:pStyle w:val="Listenumros"/>
        <w:numPr>
          <w:ilvl w:val="1"/>
          <w:numId w:val="3"/>
        </w:numPr>
        <w:spacing w:before="0" w:after="0"/>
        <w:rPr>
          <w:b w:val="0"/>
          <w:bCs w:val="0"/>
        </w:rPr>
      </w:pPr>
      <w:r w:rsidRPr="007A52D2">
        <w:rPr>
          <w:b w:val="0"/>
          <w:bCs w:val="0"/>
        </w:rPr>
        <w:t>Eligibilité du dossier de candidature</w:t>
      </w:r>
    </w:p>
    <w:p w14:paraId="2083A544" w14:textId="77777777" w:rsidR="00956CF6" w:rsidRPr="007A52D2" w:rsidRDefault="00B36878" w:rsidP="00424F17">
      <w:pPr>
        <w:pStyle w:val="Listenumros"/>
        <w:numPr>
          <w:ilvl w:val="2"/>
          <w:numId w:val="3"/>
        </w:numPr>
        <w:spacing w:before="0" w:after="0"/>
        <w:rPr>
          <w:b w:val="0"/>
          <w:bCs w:val="0"/>
        </w:rPr>
      </w:pPr>
      <w:r w:rsidRPr="007A52D2">
        <w:rPr>
          <w:b w:val="0"/>
          <w:bCs w:val="0"/>
        </w:rPr>
        <w:t>Formulaire de candidature</w:t>
      </w:r>
    </w:p>
    <w:p w14:paraId="43C40872" w14:textId="37D92595" w:rsidR="00956CF6" w:rsidRPr="007A52D2" w:rsidRDefault="00956CF6" w:rsidP="00424F17">
      <w:pPr>
        <w:pStyle w:val="Listenumros"/>
        <w:numPr>
          <w:ilvl w:val="2"/>
          <w:numId w:val="3"/>
        </w:numPr>
        <w:spacing w:before="0" w:after="0"/>
        <w:rPr>
          <w:b w:val="0"/>
          <w:bCs w:val="0"/>
        </w:rPr>
      </w:pPr>
      <w:r w:rsidRPr="007A52D2">
        <w:rPr>
          <w:b w:val="0"/>
          <w:bCs w:val="0"/>
        </w:rPr>
        <w:t>Convention de partenariat</w:t>
      </w:r>
    </w:p>
    <w:p w14:paraId="42248499" w14:textId="0CD6E1D2" w:rsidR="00956CF6" w:rsidRPr="007A52D2" w:rsidRDefault="001B3844" w:rsidP="00424F17">
      <w:pPr>
        <w:pStyle w:val="Listenumros"/>
        <w:numPr>
          <w:ilvl w:val="2"/>
          <w:numId w:val="3"/>
        </w:numPr>
        <w:spacing w:before="0" w:after="0"/>
        <w:rPr>
          <w:b w:val="0"/>
          <w:bCs w:val="0"/>
        </w:rPr>
      </w:pPr>
      <w:r w:rsidRPr="007A52D2">
        <w:rPr>
          <w:b w:val="0"/>
          <w:bCs w:val="0"/>
        </w:rPr>
        <w:t>L’avis de l’instance bassin Enseignement – Formation – Emploi</w:t>
      </w:r>
    </w:p>
    <w:p w14:paraId="0D4B32CA" w14:textId="77777777" w:rsidR="00725669" w:rsidRPr="007A52D2" w:rsidRDefault="00D86FDD" w:rsidP="00424F17">
      <w:pPr>
        <w:pStyle w:val="Listenumros"/>
        <w:numPr>
          <w:ilvl w:val="1"/>
          <w:numId w:val="3"/>
        </w:numPr>
        <w:spacing w:before="0" w:after="0"/>
        <w:rPr>
          <w:b w:val="0"/>
          <w:bCs w:val="0"/>
        </w:rPr>
      </w:pPr>
      <w:r w:rsidRPr="007A52D2">
        <w:rPr>
          <w:b w:val="0"/>
          <w:bCs w:val="0"/>
        </w:rPr>
        <w:t>Eligibilité des bénéficiaires</w:t>
      </w:r>
    </w:p>
    <w:p w14:paraId="6837E209" w14:textId="77777777" w:rsidR="00814503" w:rsidRPr="007A52D2" w:rsidRDefault="00725669" w:rsidP="00424F17">
      <w:pPr>
        <w:pStyle w:val="Listenumros"/>
        <w:numPr>
          <w:ilvl w:val="1"/>
          <w:numId w:val="3"/>
        </w:numPr>
        <w:spacing w:before="0" w:after="0"/>
        <w:rPr>
          <w:b w:val="0"/>
          <w:bCs w:val="0"/>
        </w:rPr>
      </w:pPr>
      <w:r w:rsidRPr="007A52D2">
        <w:rPr>
          <w:b w:val="0"/>
          <w:bCs w:val="0"/>
        </w:rPr>
        <w:t xml:space="preserve">Eligibilité du projet </w:t>
      </w:r>
    </w:p>
    <w:p w14:paraId="490B0125" w14:textId="72A08B02" w:rsidR="00814503" w:rsidRPr="007A52D2" w:rsidRDefault="00814503" w:rsidP="00424F17">
      <w:pPr>
        <w:pStyle w:val="Listenumros"/>
        <w:numPr>
          <w:ilvl w:val="1"/>
          <w:numId w:val="3"/>
        </w:numPr>
        <w:spacing w:before="0" w:after="0"/>
        <w:rPr>
          <w:b w:val="0"/>
          <w:bCs w:val="0"/>
        </w:rPr>
      </w:pPr>
      <w:r w:rsidRPr="007A52D2">
        <w:rPr>
          <w:b w:val="0"/>
          <w:bCs w:val="0"/>
        </w:rPr>
        <w:t xml:space="preserve"> Pertinence </w:t>
      </w:r>
    </w:p>
    <w:p w14:paraId="628547F2" w14:textId="4E9E8D98" w:rsidR="00712F8B" w:rsidRDefault="00814503" w:rsidP="00424F17">
      <w:pPr>
        <w:pStyle w:val="Paragraphedeliste"/>
        <w:numPr>
          <w:ilvl w:val="0"/>
          <w:numId w:val="3"/>
        </w:numPr>
        <w:spacing w:before="0" w:after="0"/>
        <w:contextualSpacing w:val="0"/>
      </w:pPr>
      <w:r>
        <w:t xml:space="preserve">Financement </w:t>
      </w:r>
    </w:p>
    <w:p w14:paraId="3EDAC7D5" w14:textId="4ECE27A8" w:rsidR="00814503" w:rsidRDefault="00814503" w:rsidP="00814503">
      <w:pPr>
        <w:pStyle w:val="Paragraphedeliste"/>
        <w:numPr>
          <w:ilvl w:val="0"/>
          <w:numId w:val="3"/>
        </w:numPr>
      </w:pPr>
      <w:r>
        <w:t>Comité d’accompagnement</w:t>
      </w:r>
    </w:p>
    <w:p w14:paraId="48B527BE" w14:textId="5AA3677E" w:rsidR="00814503" w:rsidRDefault="00814503" w:rsidP="00814503">
      <w:pPr>
        <w:pStyle w:val="Paragraphedeliste"/>
        <w:numPr>
          <w:ilvl w:val="0"/>
          <w:numId w:val="3"/>
        </w:numPr>
      </w:pPr>
      <w:r>
        <w:t>Rapport final</w:t>
      </w:r>
    </w:p>
    <w:p w14:paraId="6648E351" w14:textId="77777777" w:rsidR="00965E9B" w:rsidRDefault="00965E9B"/>
    <w:tbl>
      <w:tblPr>
        <w:tblStyle w:val="Grilledutableau"/>
        <w:tblW w:w="10349" w:type="dxa"/>
        <w:tblInd w:w="-856" w:type="dxa"/>
        <w:tblLayout w:type="fixed"/>
        <w:tblLook w:val="04A0" w:firstRow="1" w:lastRow="0" w:firstColumn="1" w:lastColumn="0" w:noHBand="0" w:noVBand="1"/>
      </w:tblPr>
      <w:tblGrid>
        <w:gridCol w:w="851"/>
        <w:gridCol w:w="4253"/>
        <w:gridCol w:w="5245"/>
      </w:tblGrid>
      <w:tr w:rsidR="003D5D9D" w14:paraId="1B1B1092" w14:textId="77777777" w:rsidTr="00424F17">
        <w:tc>
          <w:tcPr>
            <w:tcW w:w="851" w:type="dxa"/>
          </w:tcPr>
          <w:p w14:paraId="0DF58984" w14:textId="4354A2C8" w:rsidR="003D5D9D" w:rsidRPr="00814503" w:rsidRDefault="003D5D9D">
            <w:pPr>
              <w:rPr>
                <w:b/>
                <w:bCs/>
              </w:rPr>
            </w:pPr>
            <w:r w:rsidRPr="00814503">
              <w:rPr>
                <w:b/>
                <w:bCs/>
              </w:rPr>
              <w:t>1</w:t>
            </w:r>
          </w:p>
        </w:tc>
        <w:tc>
          <w:tcPr>
            <w:tcW w:w="4253" w:type="dxa"/>
          </w:tcPr>
          <w:p w14:paraId="1FA93B90" w14:textId="243E539F" w:rsidR="003D5D9D" w:rsidRPr="00814503" w:rsidRDefault="003D5D9D">
            <w:pPr>
              <w:rPr>
                <w:b/>
                <w:bCs/>
              </w:rPr>
            </w:pPr>
            <w:r w:rsidRPr="00814503">
              <w:rPr>
                <w:b/>
                <w:bCs/>
              </w:rPr>
              <w:t>Public AP</w:t>
            </w:r>
          </w:p>
        </w:tc>
        <w:tc>
          <w:tcPr>
            <w:tcW w:w="5245" w:type="dxa"/>
          </w:tcPr>
          <w:p w14:paraId="3A5EB60A" w14:textId="77777777" w:rsidR="003D5D9D" w:rsidRDefault="003D5D9D"/>
        </w:tc>
      </w:tr>
      <w:tr w:rsidR="003D5D9D" w14:paraId="1CC72AA3" w14:textId="77777777" w:rsidTr="00424F17">
        <w:tc>
          <w:tcPr>
            <w:tcW w:w="851" w:type="dxa"/>
          </w:tcPr>
          <w:p w14:paraId="78577B84" w14:textId="77777777" w:rsidR="003D5D9D" w:rsidRDefault="003D5D9D"/>
        </w:tc>
        <w:tc>
          <w:tcPr>
            <w:tcW w:w="4253" w:type="dxa"/>
          </w:tcPr>
          <w:p w14:paraId="4F2A65EC" w14:textId="77777777" w:rsidR="003D5D9D" w:rsidRDefault="003D5D9D"/>
        </w:tc>
        <w:tc>
          <w:tcPr>
            <w:tcW w:w="5245" w:type="dxa"/>
          </w:tcPr>
          <w:p w14:paraId="2894E906" w14:textId="77777777" w:rsidR="003D5D9D" w:rsidRDefault="003D5D9D"/>
        </w:tc>
      </w:tr>
      <w:tr w:rsidR="003D5D9D" w14:paraId="3F6E633E" w14:textId="77777777" w:rsidTr="00424F17">
        <w:tc>
          <w:tcPr>
            <w:tcW w:w="851" w:type="dxa"/>
          </w:tcPr>
          <w:p w14:paraId="1FBB7FC4" w14:textId="1C43CCFF" w:rsidR="003D5D9D" w:rsidRPr="00814503" w:rsidRDefault="003D5D9D" w:rsidP="00814503">
            <w:pPr>
              <w:rPr>
                <w:b/>
                <w:bCs/>
              </w:rPr>
            </w:pPr>
            <w:r>
              <w:rPr>
                <w:b/>
                <w:bCs/>
              </w:rPr>
              <w:t>2</w:t>
            </w:r>
          </w:p>
        </w:tc>
        <w:tc>
          <w:tcPr>
            <w:tcW w:w="4253" w:type="dxa"/>
          </w:tcPr>
          <w:p w14:paraId="77213FCB" w14:textId="31811017" w:rsidR="003D5D9D" w:rsidRPr="00814503" w:rsidRDefault="003D5D9D" w:rsidP="00814503">
            <w:pPr>
              <w:rPr>
                <w:b/>
                <w:bCs/>
              </w:rPr>
            </w:pPr>
            <w:proofErr w:type="gramStart"/>
            <w:r>
              <w:rPr>
                <w:b/>
                <w:bCs/>
              </w:rPr>
              <w:t>Timing</w:t>
            </w:r>
            <w:proofErr w:type="gramEnd"/>
          </w:p>
        </w:tc>
        <w:tc>
          <w:tcPr>
            <w:tcW w:w="5245" w:type="dxa"/>
          </w:tcPr>
          <w:p w14:paraId="5199346C" w14:textId="77777777" w:rsidR="003D5D9D" w:rsidRDefault="003D5D9D" w:rsidP="00814503"/>
        </w:tc>
      </w:tr>
      <w:tr w:rsidR="003D5D9D" w14:paraId="6EC845B6" w14:textId="77777777" w:rsidTr="00424F17">
        <w:tc>
          <w:tcPr>
            <w:tcW w:w="851" w:type="dxa"/>
          </w:tcPr>
          <w:p w14:paraId="08E22076" w14:textId="313B6A65" w:rsidR="003D5D9D" w:rsidRDefault="003D5D9D">
            <w:r>
              <w:t>2.1</w:t>
            </w:r>
          </w:p>
        </w:tc>
        <w:tc>
          <w:tcPr>
            <w:tcW w:w="4253" w:type="dxa"/>
          </w:tcPr>
          <w:p w14:paraId="660407A9" w14:textId="7687A365" w:rsidR="003D5D9D" w:rsidRDefault="003D5D9D">
            <w:r>
              <w:t>Sera-t-il possible de déposer un projet plus tard ?</w:t>
            </w:r>
          </w:p>
        </w:tc>
        <w:tc>
          <w:tcPr>
            <w:tcW w:w="5245" w:type="dxa"/>
          </w:tcPr>
          <w:p w14:paraId="43A6D275" w14:textId="5988B938" w:rsidR="003D5D9D" w:rsidRDefault="003D5D9D">
            <w:r>
              <w:t>Un second AP sera lancé probablement en février 2023.</w:t>
            </w:r>
          </w:p>
        </w:tc>
      </w:tr>
      <w:tr w:rsidR="003D5D9D" w14:paraId="29F4A97F" w14:textId="77777777" w:rsidTr="00424F17">
        <w:tc>
          <w:tcPr>
            <w:tcW w:w="851" w:type="dxa"/>
          </w:tcPr>
          <w:p w14:paraId="6316DCF1" w14:textId="2A172842" w:rsidR="003D5D9D" w:rsidRPr="00814503" w:rsidRDefault="003D5D9D">
            <w:pPr>
              <w:rPr>
                <w:b/>
                <w:bCs/>
              </w:rPr>
            </w:pPr>
            <w:r w:rsidRPr="00814503">
              <w:rPr>
                <w:b/>
                <w:bCs/>
              </w:rPr>
              <w:t>3</w:t>
            </w:r>
          </w:p>
        </w:tc>
        <w:tc>
          <w:tcPr>
            <w:tcW w:w="4253" w:type="dxa"/>
          </w:tcPr>
          <w:p w14:paraId="7F26EE2D" w14:textId="4DF43A74" w:rsidR="003D5D9D" w:rsidRPr="00814503" w:rsidRDefault="003D5D9D">
            <w:pPr>
              <w:rPr>
                <w:b/>
                <w:bCs/>
              </w:rPr>
            </w:pPr>
            <w:r w:rsidRPr="00814503">
              <w:rPr>
                <w:b/>
                <w:bCs/>
              </w:rPr>
              <w:t>Objectifs AP</w:t>
            </w:r>
          </w:p>
        </w:tc>
        <w:tc>
          <w:tcPr>
            <w:tcW w:w="5245" w:type="dxa"/>
          </w:tcPr>
          <w:p w14:paraId="138C3261" w14:textId="77777777" w:rsidR="003D5D9D" w:rsidRDefault="003D5D9D"/>
        </w:tc>
      </w:tr>
      <w:tr w:rsidR="003D5D9D" w14:paraId="0FC24998" w14:textId="77777777" w:rsidTr="00424F17">
        <w:tc>
          <w:tcPr>
            <w:tcW w:w="851" w:type="dxa"/>
          </w:tcPr>
          <w:p w14:paraId="5B3EC15C" w14:textId="77777777" w:rsidR="003D5D9D" w:rsidRDefault="003D5D9D"/>
        </w:tc>
        <w:tc>
          <w:tcPr>
            <w:tcW w:w="4253" w:type="dxa"/>
          </w:tcPr>
          <w:p w14:paraId="118CC7E8" w14:textId="77777777" w:rsidR="003D5D9D" w:rsidRDefault="003D5D9D"/>
        </w:tc>
        <w:tc>
          <w:tcPr>
            <w:tcW w:w="5245" w:type="dxa"/>
          </w:tcPr>
          <w:p w14:paraId="60DDCED2" w14:textId="77777777" w:rsidR="003D5D9D" w:rsidRDefault="003D5D9D"/>
        </w:tc>
      </w:tr>
      <w:tr w:rsidR="003D5D9D" w14:paraId="3CD360FC" w14:textId="77777777" w:rsidTr="00424F17">
        <w:tc>
          <w:tcPr>
            <w:tcW w:w="851" w:type="dxa"/>
          </w:tcPr>
          <w:p w14:paraId="14275BD1" w14:textId="57D5D2B6" w:rsidR="003D5D9D" w:rsidRPr="00814503" w:rsidRDefault="003D5D9D">
            <w:pPr>
              <w:rPr>
                <w:b/>
                <w:bCs/>
              </w:rPr>
            </w:pPr>
            <w:r w:rsidRPr="00814503">
              <w:rPr>
                <w:b/>
                <w:bCs/>
              </w:rPr>
              <w:t>4</w:t>
            </w:r>
          </w:p>
        </w:tc>
        <w:tc>
          <w:tcPr>
            <w:tcW w:w="4253" w:type="dxa"/>
          </w:tcPr>
          <w:p w14:paraId="44FA2EC7" w14:textId="3DDEF6EA" w:rsidR="003D5D9D" w:rsidRPr="00814503" w:rsidRDefault="003D5D9D">
            <w:pPr>
              <w:rPr>
                <w:b/>
                <w:bCs/>
              </w:rPr>
            </w:pPr>
            <w:r w:rsidRPr="00814503">
              <w:rPr>
                <w:b/>
                <w:bCs/>
              </w:rPr>
              <w:t>Condition de participation</w:t>
            </w:r>
          </w:p>
        </w:tc>
        <w:tc>
          <w:tcPr>
            <w:tcW w:w="5245" w:type="dxa"/>
          </w:tcPr>
          <w:p w14:paraId="4CE15791" w14:textId="77777777" w:rsidR="003D5D9D" w:rsidRDefault="003D5D9D"/>
        </w:tc>
      </w:tr>
      <w:tr w:rsidR="003D5D9D" w14:paraId="611659E9" w14:textId="77777777" w:rsidTr="00424F17">
        <w:tc>
          <w:tcPr>
            <w:tcW w:w="851" w:type="dxa"/>
          </w:tcPr>
          <w:p w14:paraId="143C89AD" w14:textId="1465BF43" w:rsidR="003D5D9D" w:rsidRDefault="003D5D9D"/>
        </w:tc>
        <w:tc>
          <w:tcPr>
            <w:tcW w:w="4253" w:type="dxa"/>
          </w:tcPr>
          <w:p w14:paraId="717A7B6D" w14:textId="5B91DFDA" w:rsidR="003D5D9D" w:rsidRDefault="003D5D9D"/>
        </w:tc>
        <w:tc>
          <w:tcPr>
            <w:tcW w:w="5245" w:type="dxa"/>
          </w:tcPr>
          <w:p w14:paraId="02DDECAD" w14:textId="77777777" w:rsidR="003D5D9D" w:rsidRDefault="003D5D9D"/>
        </w:tc>
      </w:tr>
      <w:tr w:rsidR="003D5D9D" w14:paraId="59615A6B" w14:textId="77777777" w:rsidTr="00424F17">
        <w:tc>
          <w:tcPr>
            <w:tcW w:w="851" w:type="dxa"/>
          </w:tcPr>
          <w:p w14:paraId="31841B35" w14:textId="12A606A7" w:rsidR="003D5D9D" w:rsidRPr="00814503" w:rsidRDefault="003D5D9D">
            <w:pPr>
              <w:rPr>
                <w:b/>
                <w:bCs/>
              </w:rPr>
            </w:pPr>
            <w:r w:rsidRPr="00814503">
              <w:rPr>
                <w:b/>
                <w:bCs/>
              </w:rPr>
              <w:lastRenderedPageBreak/>
              <w:t>4.1.</w:t>
            </w:r>
          </w:p>
        </w:tc>
        <w:tc>
          <w:tcPr>
            <w:tcW w:w="4253" w:type="dxa"/>
          </w:tcPr>
          <w:p w14:paraId="341498BF" w14:textId="5F62973F" w:rsidR="003D5D9D" w:rsidRPr="00814503" w:rsidRDefault="003D5D9D" w:rsidP="001B3844">
            <w:pPr>
              <w:rPr>
                <w:b/>
                <w:bCs/>
              </w:rPr>
            </w:pPr>
            <w:r w:rsidRPr="00814503">
              <w:rPr>
                <w:b/>
                <w:bCs/>
              </w:rPr>
              <w:t xml:space="preserve">Eligibilité du dossier de candidature </w:t>
            </w:r>
          </w:p>
        </w:tc>
        <w:tc>
          <w:tcPr>
            <w:tcW w:w="5245" w:type="dxa"/>
          </w:tcPr>
          <w:p w14:paraId="15349EB9" w14:textId="77777777" w:rsidR="003D5D9D" w:rsidRDefault="003D5D9D"/>
        </w:tc>
      </w:tr>
      <w:tr w:rsidR="00424F17" w14:paraId="64BF2EDD" w14:textId="77777777" w:rsidTr="00424F17">
        <w:tc>
          <w:tcPr>
            <w:tcW w:w="851" w:type="dxa"/>
          </w:tcPr>
          <w:p w14:paraId="3366B949" w14:textId="77777777" w:rsidR="00424F17" w:rsidRPr="00814503" w:rsidRDefault="00424F17">
            <w:pPr>
              <w:rPr>
                <w:b/>
                <w:bCs/>
              </w:rPr>
            </w:pPr>
          </w:p>
        </w:tc>
        <w:tc>
          <w:tcPr>
            <w:tcW w:w="4253" w:type="dxa"/>
          </w:tcPr>
          <w:p w14:paraId="06DEEBA8" w14:textId="77777777" w:rsidR="00424F17" w:rsidRPr="00814503" w:rsidRDefault="00424F17" w:rsidP="001B3844">
            <w:pPr>
              <w:rPr>
                <w:b/>
                <w:bCs/>
              </w:rPr>
            </w:pPr>
          </w:p>
        </w:tc>
        <w:tc>
          <w:tcPr>
            <w:tcW w:w="5245" w:type="dxa"/>
          </w:tcPr>
          <w:p w14:paraId="3103401C" w14:textId="77777777" w:rsidR="00424F17" w:rsidRDefault="00424F17"/>
        </w:tc>
      </w:tr>
      <w:tr w:rsidR="003D5D9D" w14:paraId="7DCFFCD1" w14:textId="77777777" w:rsidTr="00424F17">
        <w:tc>
          <w:tcPr>
            <w:tcW w:w="851" w:type="dxa"/>
          </w:tcPr>
          <w:p w14:paraId="6DBF7B8E" w14:textId="6C72C0C8" w:rsidR="003D5D9D" w:rsidRPr="00814503" w:rsidRDefault="003D5D9D">
            <w:pPr>
              <w:rPr>
                <w:b/>
                <w:bCs/>
              </w:rPr>
            </w:pPr>
            <w:r>
              <w:rPr>
                <w:b/>
                <w:bCs/>
              </w:rPr>
              <w:t>4.1.1</w:t>
            </w:r>
          </w:p>
        </w:tc>
        <w:tc>
          <w:tcPr>
            <w:tcW w:w="4253" w:type="dxa"/>
          </w:tcPr>
          <w:p w14:paraId="65F3DB36" w14:textId="5BEDAE3C" w:rsidR="003D5D9D" w:rsidRPr="00956CF6" w:rsidRDefault="003D5D9D" w:rsidP="00956CF6">
            <w:pPr>
              <w:pStyle w:val="Listenumros"/>
            </w:pPr>
            <w:r w:rsidRPr="00956CF6">
              <w:t>Formulaire de candidature</w:t>
            </w:r>
          </w:p>
        </w:tc>
        <w:tc>
          <w:tcPr>
            <w:tcW w:w="5245" w:type="dxa"/>
          </w:tcPr>
          <w:p w14:paraId="572DA4B8" w14:textId="77777777" w:rsidR="003D5D9D" w:rsidRDefault="003D5D9D"/>
        </w:tc>
      </w:tr>
      <w:tr w:rsidR="00424F17" w14:paraId="13C49391" w14:textId="77777777" w:rsidTr="00424F17">
        <w:trPr>
          <w:trHeight w:val="464"/>
        </w:trPr>
        <w:tc>
          <w:tcPr>
            <w:tcW w:w="851" w:type="dxa"/>
          </w:tcPr>
          <w:p w14:paraId="0F8F4F9C" w14:textId="77777777" w:rsidR="00424F17" w:rsidRDefault="00424F17">
            <w:pPr>
              <w:rPr>
                <w:b/>
                <w:bCs/>
              </w:rPr>
            </w:pPr>
          </w:p>
        </w:tc>
        <w:tc>
          <w:tcPr>
            <w:tcW w:w="4253" w:type="dxa"/>
          </w:tcPr>
          <w:p w14:paraId="07EDDD2E" w14:textId="77777777" w:rsidR="00424F17" w:rsidRPr="00956CF6" w:rsidRDefault="00424F17" w:rsidP="00956CF6">
            <w:pPr>
              <w:pStyle w:val="Listenumros"/>
            </w:pPr>
          </w:p>
        </w:tc>
        <w:tc>
          <w:tcPr>
            <w:tcW w:w="5245" w:type="dxa"/>
          </w:tcPr>
          <w:p w14:paraId="4B4AE874" w14:textId="77777777" w:rsidR="00424F17" w:rsidRDefault="00424F17"/>
        </w:tc>
      </w:tr>
      <w:tr w:rsidR="003D5D9D" w14:paraId="7F099212" w14:textId="77777777" w:rsidTr="00424F17">
        <w:tc>
          <w:tcPr>
            <w:tcW w:w="851" w:type="dxa"/>
          </w:tcPr>
          <w:p w14:paraId="5E2CFA8B" w14:textId="135A1178" w:rsidR="003D5D9D" w:rsidRPr="00814503" w:rsidRDefault="003D5D9D">
            <w:pPr>
              <w:rPr>
                <w:b/>
                <w:bCs/>
              </w:rPr>
            </w:pPr>
            <w:r>
              <w:rPr>
                <w:b/>
                <w:bCs/>
              </w:rPr>
              <w:t>4.1.2</w:t>
            </w:r>
          </w:p>
        </w:tc>
        <w:tc>
          <w:tcPr>
            <w:tcW w:w="4253" w:type="dxa"/>
          </w:tcPr>
          <w:p w14:paraId="7E9493E3" w14:textId="1D693BA5" w:rsidR="003D5D9D" w:rsidRPr="00814503" w:rsidRDefault="003D5D9D" w:rsidP="00814503">
            <w:pPr>
              <w:rPr>
                <w:b/>
                <w:bCs/>
              </w:rPr>
            </w:pPr>
            <w:r>
              <w:rPr>
                <w:b/>
                <w:bCs/>
              </w:rPr>
              <w:t>Convention de partenariat</w:t>
            </w:r>
          </w:p>
        </w:tc>
        <w:tc>
          <w:tcPr>
            <w:tcW w:w="5245" w:type="dxa"/>
          </w:tcPr>
          <w:p w14:paraId="24FA7329" w14:textId="77777777" w:rsidR="003D5D9D" w:rsidRDefault="003D5D9D"/>
        </w:tc>
      </w:tr>
      <w:tr w:rsidR="003D5D9D" w14:paraId="5441445B" w14:textId="77777777" w:rsidTr="00424F17">
        <w:tc>
          <w:tcPr>
            <w:tcW w:w="851" w:type="dxa"/>
          </w:tcPr>
          <w:p w14:paraId="7FDE5413" w14:textId="6FF99C03" w:rsidR="003D5D9D" w:rsidRPr="000C168A" w:rsidRDefault="003D5D9D">
            <w:r>
              <w:t>4.1.2.</w:t>
            </w:r>
            <w:r w:rsidR="007A52D2">
              <w:t>1</w:t>
            </w:r>
          </w:p>
        </w:tc>
        <w:tc>
          <w:tcPr>
            <w:tcW w:w="4253" w:type="dxa"/>
          </w:tcPr>
          <w:p w14:paraId="0F4C4F8C" w14:textId="4D813315" w:rsidR="003D5D9D" w:rsidRDefault="003D5D9D" w:rsidP="00814503">
            <w:r w:rsidRPr="008E7FD6">
              <w:t>La résiliation est basée sur un préavis de 3 mois. Quid si on se trouve dans un projet</w:t>
            </w:r>
            <w:r w:rsidR="0098707B">
              <w:t xml:space="preserve"> de court terme</w:t>
            </w:r>
            <w:r w:rsidRPr="008E7FD6">
              <w:t xml:space="preserve"> qui vise à établir un partenariat ?</w:t>
            </w:r>
          </w:p>
        </w:tc>
        <w:tc>
          <w:tcPr>
            <w:tcW w:w="5245" w:type="dxa"/>
          </w:tcPr>
          <w:p w14:paraId="7D945E09" w14:textId="6983A9E7" w:rsidR="003D5D9D" w:rsidRDefault="003D5D9D">
            <w:r>
              <w:t>La convention n’est pas obligatoire pour ce type de partenariat.</w:t>
            </w:r>
          </w:p>
        </w:tc>
      </w:tr>
      <w:tr w:rsidR="003D5D9D" w14:paraId="60A28F33" w14:textId="77777777" w:rsidTr="00424F17">
        <w:tc>
          <w:tcPr>
            <w:tcW w:w="851" w:type="dxa"/>
          </w:tcPr>
          <w:p w14:paraId="106991AF" w14:textId="680DD367" w:rsidR="003D5D9D" w:rsidRPr="00814503" w:rsidRDefault="003D5D9D">
            <w:pPr>
              <w:rPr>
                <w:b/>
                <w:bCs/>
              </w:rPr>
            </w:pPr>
            <w:r>
              <w:rPr>
                <w:b/>
                <w:bCs/>
              </w:rPr>
              <w:t>4.1.3</w:t>
            </w:r>
          </w:p>
        </w:tc>
        <w:tc>
          <w:tcPr>
            <w:tcW w:w="4253" w:type="dxa"/>
          </w:tcPr>
          <w:p w14:paraId="3D06A36B" w14:textId="4D3A443C" w:rsidR="003D5D9D" w:rsidRPr="001B3844" w:rsidRDefault="003D5D9D" w:rsidP="00814503">
            <w:pPr>
              <w:rPr>
                <w:b/>
                <w:bCs/>
              </w:rPr>
            </w:pPr>
            <w:r w:rsidRPr="001B3844">
              <w:rPr>
                <w:b/>
                <w:bCs/>
              </w:rPr>
              <w:t xml:space="preserve">L’avis de l’instance bassin </w:t>
            </w:r>
            <w:r>
              <w:rPr>
                <w:b/>
                <w:bCs/>
              </w:rPr>
              <w:t>EFE</w:t>
            </w:r>
          </w:p>
        </w:tc>
        <w:tc>
          <w:tcPr>
            <w:tcW w:w="5245" w:type="dxa"/>
          </w:tcPr>
          <w:p w14:paraId="42B8063B" w14:textId="77777777" w:rsidR="003D5D9D" w:rsidRDefault="003D5D9D"/>
        </w:tc>
      </w:tr>
      <w:tr w:rsidR="003D5D9D" w14:paraId="2D594C4F" w14:textId="77777777" w:rsidTr="00424F17">
        <w:tc>
          <w:tcPr>
            <w:tcW w:w="851" w:type="dxa"/>
          </w:tcPr>
          <w:p w14:paraId="1E8A7279" w14:textId="0A127670" w:rsidR="003D5D9D" w:rsidRPr="005441B3" w:rsidRDefault="003D5D9D">
            <w:r w:rsidRPr="005441B3">
              <w:t>4.1.3.1</w:t>
            </w:r>
          </w:p>
        </w:tc>
        <w:tc>
          <w:tcPr>
            <w:tcW w:w="4253" w:type="dxa"/>
          </w:tcPr>
          <w:p w14:paraId="40563DC9" w14:textId="0682174E" w:rsidR="003D5D9D" w:rsidRPr="005441B3" w:rsidRDefault="0098707B" w:rsidP="00814503">
            <w:r>
              <w:t>Quelle est la</w:t>
            </w:r>
            <w:r w:rsidR="003D5D9D" w:rsidRPr="005441B3">
              <w:t xml:space="preserve"> procédure pour contacter les </w:t>
            </w:r>
            <w:r>
              <w:t xml:space="preserve">instances </w:t>
            </w:r>
            <w:r w:rsidR="003D5D9D" w:rsidRPr="005441B3">
              <w:t>Bassins ?</w:t>
            </w:r>
          </w:p>
        </w:tc>
        <w:tc>
          <w:tcPr>
            <w:tcW w:w="5245" w:type="dxa"/>
          </w:tcPr>
          <w:p w14:paraId="478D19D7" w14:textId="47C4B200" w:rsidR="003D5D9D" w:rsidRDefault="003D5D9D">
            <w:r w:rsidRPr="00356720">
              <w:t xml:space="preserve">Il faut contacter le coordinateur du Bassin. Les coordonnées sont sur le site </w:t>
            </w:r>
            <w:r w:rsidR="0098707B">
              <w:t xml:space="preserve">web </w:t>
            </w:r>
            <w:r w:rsidRPr="00356720">
              <w:t>des bassins.</w:t>
            </w:r>
            <w:r w:rsidR="0098707B">
              <w:t xml:space="preserve"> Attention : il est conseillé de les contacter le plus en amont possible, afin qu’ils puissent remettre leur avis dans les délais. </w:t>
            </w:r>
            <w:r w:rsidRPr="00356720">
              <w:t xml:space="preserve"> </w:t>
            </w:r>
          </w:p>
        </w:tc>
      </w:tr>
      <w:tr w:rsidR="003D5D9D" w14:paraId="089C3F2D" w14:textId="77777777" w:rsidTr="00424F17">
        <w:tc>
          <w:tcPr>
            <w:tcW w:w="851" w:type="dxa"/>
          </w:tcPr>
          <w:p w14:paraId="6EDCD57C" w14:textId="1AD1469F" w:rsidR="003D5D9D" w:rsidRPr="005441B3" w:rsidRDefault="003D5D9D">
            <w:r>
              <w:t>4.1.3.2</w:t>
            </w:r>
          </w:p>
        </w:tc>
        <w:tc>
          <w:tcPr>
            <w:tcW w:w="4253" w:type="dxa"/>
          </w:tcPr>
          <w:p w14:paraId="28F6D6A2" w14:textId="345532E2" w:rsidR="003D5D9D" w:rsidRPr="00192484" w:rsidRDefault="003D5D9D" w:rsidP="00814503">
            <w:r w:rsidRPr="00192484">
              <w:t xml:space="preserve">Que faire si le Bassin ne rend pas son avis </w:t>
            </w:r>
            <w:r w:rsidR="0098707B" w:rsidRPr="00192484">
              <w:t>avant le 15/07 ?</w:t>
            </w:r>
          </w:p>
        </w:tc>
        <w:tc>
          <w:tcPr>
            <w:tcW w:w="5245" w:type="dxa"/>
          </w:tcPr>
          <w:p w14:paraId="474BD8F8" w14:textId="32A767CA" w:rsidR="0098707B" w:rsidRPr="00192484" w:rsidRDefault="00192484">
            <w:r w:rsidRPr="00192484">
              <w:t>I</w:t>
            </w:r>
            <w:r w:rsidR="0098707B" w:rsidRPr="00192484">
              <w:t>l est conseillé de les contacter le plus en amont possible, afin qu’ils puissent remettre leur avis dans les délais</w:t>
            </w:r>
            <w:r w:rsidR="00B77CF5">
              <w:t>.</w:t>
            </w:r>
          </w:p>
          <w:p w14:paraId="2094BD93" w14:textId="6FB2AA90" w:rsidR="003D5D9D" w:rsidRPr="00192484" w:rsidRDefault="0098707B">
            <w:r w:rsidRPr="00192484">
              <w:t>Si l’avis ne peut être obtenu avant le dépôt du projet, l</w:t>
            </w:r>
            <w:r w:rsidR="003D5D9D" w:rsidRPr="00192484">
              <w:t xml:space="preserve">e porteur de projet transmet au SPW la preuve </w:t>
            </w:r>
            <w:r w:rsidRPr="00192484">
              <w:t>que l’avis du bassin a été sollicité</w:t>
            </w:r>
            <w:r w:rsidR="003D5D9D" w:rsidRPr="00192484">
              <w:t xml:space="preserve">. Le Bassin communiquera son avis au SPW pour le 22/8 au plus tard. </w:t>
            </w:r>
          </w:p>
        </w:tc>
      </w:tr>
      <w:tr w:rsidR="003D5D9D" w14:paraId="54D6A507" w14:textId="77777777" w:rsidTr="00424F17">
        <w:tc>
          <w:tcPr>
            <w:tcW w:w="851" w:type="dxa"/>
          </w:tcPr>
          <w:p w14:paraId="06D69FA7" w14:textId="68063E2A" w:rsidR="003D5D9D" w:rsidRPr="00814503" w:rsidRDefault="003D5D9D">
            <w:pPr>
              <w:rPr>
                <w:b/>
                <w:bCs/>
              </w:rPr>
            </w:pPr>
            <w:r w:rsidRPr="00814503">
              <w:rPr>
                <w:b/>
                <w:bCs/>
              </w:rPr>
              <w:t>4.2</w:t>
            </w:r>
          </w:p>
        </w:tc>
        <w:tc>
          <w:tcPr>
            <w:tcW w:w="4253" w:type="dxa"/>
          </w:tcPr>
          <w:p w14:paraId="72B788E8" w14:textId="31D7364F" w:rsidR="003D5D9D" w:rsidRPr="00814503" w:rsidRDefault="003D5D9D" w:rsidP="00CA7599">
            <w:pPr>
              <w:rPr>
                <w:b/>
                <w:bCs/>
              </w:rPr>
            </w:pPr>
            <w:r w:rsidRPr="00814503">
              <w:rPr>
                <w:b/>
                <w:bCs/>
              </w:rPr>
              <w:t>Eligibilité des bénéficiaires</w:t>
            </w:r>
          </w:p>
        </w:tc>
        <w:tc>
          <w:tcPr>
            <w:tcW w:w="5245" w:type="dxa"/>
          </w:tcPr>
          <w:p w14:paraId="060C11D0" w14:textId="77777777" w:rsidR="003D5D9D" w:rsidRDefault="003D5D9D"/>
        </w:tc>
      </w:tr>
      <w:tr w:rsidR="003D5D9D" w14:paraId="06559E28" w14:textId="77777777" w:rsidTr="00424F17">
        <w:tc>
          <w:tcPr>
            <w:tcW w:w="851" w:type="dxa"/>
          </w:tcPr>
          <w:p w14:paraId="631E4151" w14:textId="7C508749" w:rsidR="003D5D9D" w:rsidRPr="00E411F5" w:rsidRDefault="003D5D9D">
            <w:r w:rsidRPr="00E411F5">
              <w:t>4.2.1</w:t>
            </w:r>
          </w:p>
        </w:tc>
        <w:tc>
          <w:tcPr>
            <w:tcW w:w="4253" w:type="dxa"/>
          </w:tcPr>
          <w:p w14:paraId="1ABCA5CE" w14:textId="3F3FDA51" w:rsidR="003D5D9D" w:rsidRPr="00873B62" w:rsidRDefault="003D5D9D" w:rsidP="00814503">
            <w:r>
              <w:rPr>
                <w:rFonts w:eastAsia="Times New Roman"/>
              </w:rPr>
              <w:t xml:space="preserve">Est-ce qu’un partenaire externe peut </w:t>
            </w:r>
            <w:r w:rsidR="0098707B">
              <w:rPr>
                <w:rFonts w:eastAsia="Times New Roman"/>
              </w:rPr>
              <w:t>porter un projet</w:t>
            </w:r>
            <w:r>
              <w:rPr>
                <w:rFonts w:eastAsia="Times New Roman"/>
              </w:rPr>
              <w:t xml:space="preserve"> s’il </w:t>
            </w:r>
            <w:r w:rsidR="0098707B">
              <w:rPr>
                <w:rFonts w:eastAsia="Times New Roman"/>
              </w:rPr>
              <w:t>celui-ci inclut</w:t>
            </w:r>
            <w:r>
              <w:rPr>
                <w:rFonts w:eastAsia="Times New Roman"/>
              </w:rPr>
              <w:t xml:space="preserve"> les deux </w:t>
            </w:r>
            <w:r w:rsidR="0098707B">
              <w:rPr>
                <w:rFonts w:eastAsia="Times New Roman"/>
              </w:rPr>
              <w:t xml:space="preserve">catégories de </w:t>
            </w:r>
            <w:r>
              <w:rPr>
                <w:rFonts w:eastAsia="Times New Roman"/>
              </w:rPr>
              <w:t xml:space="preserve">partenaires </w:t>
            </w:r>
            <w:r w:rsidR="0098707B">
              <w:rPr>
                <w:rFonts w:eastAsia="Times New Roman"/>
              </w:rPr>
              <w:t>prévues dans l’appel à projets</w:t>
            </w:r>
            <w:r>
              <w:rPr>
                <w:rFonts w:eastAsia="Times New Roman"/>
              </w:rPr>
              <w:t> ?</w:t>
            </w:r>
          </w:p>
        </w:tc>
        <w:tc>
          <w:tcPr>
            <w:tcW w:w="5245" w:type="dxa"/>
          </w:tcPr>
          <w:p w14:paraId="5231A075" w14:textId="6C939AD3" w:rsidR="003D5D9D" w:rsidRPr="00E411F5" w:rsidRDefault="003D5D9D">
            <w:r w:rsidRPr="00873B62">
              <w:rPr>
                <w:rFonts w:eastAsia="Times New Roman"/>
              </w:rPr>
              <w:t>Non, le porteur du projet doit être un CISP ou un partenaire qualifiant. Les autres sont des partenaires additionnels pour des missions spécifiques.</w:t>
            </w:r>
          </w:p>
        </w:tc>
      </w:tr>
      <w:tr w:rsidR="003D5D9D" w14:paraId="2AD3B4DA" w14:textId="77777777" w:rsidTr="00424F17">
        <w:tc>
          <w:tcPr>
            <w:tcW w:w="851" w:type="dxa"/>
          </w:tcPr>
          <w:p w14:paraId="2AA1A219" w14:textId="3E155DB3" w:rsidR="003D5D9D" w:rsidRPr="00E411F5" w:rsidRDefault="003D5D9D">
            <w:r>
              <w:t>4.2.2</w:t>
            </w:r>
          </w:p>
        </w:tc>
        <w:tc>
          <w:tcPr>
            <w:tcW w:w="4253" w:type="dxa"/>
          </w:tcPr>
          <w:p w14:paraId="15D45E02" w14:textId="7DA6169E" w:rsidR="003D5D9D" w:rsidRDefault="003D5D9D" w:rsidP="00CC0125">
            <w:pPr>
              <w:spacing w:before="0" w:after="0"/>
              <w:jc w:val="left"/>
              <w:rPr>
                <w:rFonts w:eastAsia="Times New Roman"/>
              </w:rPr>
            </w:pPr>
            <w:r>
              <w:rPr>
                <w:rFonts w:eastAsia="Times New Roman"/>
              </w:rPr>
              <w:t xml:space="preserve">Est-ce qu’une </w:t>
            </w:r>
            <w:r w:rsidRPr="00CC0125">
              <w:rPr>
                <w:rFonts w:eastAsia="Times New Roman"/>
              </w:rPr>
              <w:t xml:space="preserve">Régie de quartier peut </w:t>
            </w:r>
            <w:r w:rsidR="0098707B">
              <w:rPr>
                <w:rFonts w:eastAsia="Times New Roman"/>
              </w:rPr>
              <w:t>porter un projet ?</w:t>
            </w:r>
            <w:r>
              <w:rPr>
                <w:rFonts w:eastAsia="Times New Roman"/>
              </w:rPr>
              <w:t xml:space="preserve"> </w:t>
            </w:r>
          </w:p>
        </w:tc>
        <w:tc>
          <w:tcPr>
            <w:tcW w:w="5245" w:type="dxa"/>
          </w:tcPr>
          <w:p w14:paraId="0F274184" w14:textId="196AFD74" w:rsidR="003D5D9D" w:rsidRPr="00873B62" w:rsidRDefault="003D5D9D" w:rsidP="00CC0125">
            <w:pPr>
              <w:spacing w:before="0" w:after="0"/>
              <w:jc w:val="left"/>
              <w:rPr>
                <w:rFonts w:eastAsia="Times New Roman"/>
              </w:rPr>
            </w:pPr>
            <w:r w:rsidRPr="00CC0125">
              <w:rPr>
                <w:rFonts w:eastAsia="Times New Roman"/>
              </w:rPr>
              <w:t xml:space="preserve">Non, </w:t>
            </w:r>
            <w:r w:rsidR="0098707B" w:rsidRPr="0098707B">
              <w:rPr>
                <w:rFonts w:eastAsia="Times New Roman"/>
              </w:rPr>
              <w:t>le porteur du projet doit être un CISP ou un partenaire qualifiant</w:t>
            </w:r>
            <w:r w:rsidRPr="00CC0125">
              <w:rPr>
                <w:rFonts w:eastAsia="Times New Roman"/>
              </w:rPr>
              <w:t xml:space="preserve">. </w:t>
            </w:r>
          </w:p>
        </w:tc>
      </w:tr>
      <w:tr w:rsidR="003D5D9D" w14:paraId="117379DF" w14:textId="77777777" w:rsidTr="00424F17">
        <w:tc>
          <w:tcPr>
            <w:tcW w:w="851" w:type="dxa"/>
          </w:tcPr>
          <w:p w14:paraId="4F5894AC" w14:textId="1BCE0A03" w:rsidR="003D5D9D" w:rsidRPr="00814503" w:rsidRDefault="003D5D9D">
            <w:pPr>
              <w:rPr>
                <w:b/>
                <w:bCs/>
              </w:rPr>
            </w:pPr>
            <w:r w:rsidRPr="00814503">
              <w:rPr>
                <w:b/>
                <w:bCs/>
              </w:rPr>
              <w:t>4.3</w:t>
            </w:r>
          </w:p>
        </w:tc>
        <w:tc>
          <w:tcPr>
            <w:tcW w:w="4253" w:type="dxa"/>
          </w:tcPr>
          <w:p w14:paraId="144C7064" w14:textId="1A2BE03D" w:rsidR="00A13884" w:rsidRPr="00814503" w:rsidRDefault="003D5D9D" w:rsidP="00CA7599">
            <w:pPr>
              <w:rPr>
                <w:b/>
                <w:bCs/>
              </w:rPr>
            </w:pPr>
            <w:r w:rsidRPr="00814503">
              <w:rPr>
                <w:b/>
                <w:bCs/>
              </w:rPr>
              <w:t xml:space="preserve">Eligibilité du projet </w:t>
            </w:r>
          </w:p>
        </w:tc>
        <w:tc>
          <w:tcPr>
            <w:tcW w:w="5245" w:type="dxa"/>
          </w:tcPr>
          <w:p w14:paraId="53806100" w14:textId="77777777" w:rsidR="003D5D9D" w:rsidRDefault="003D5D9D"/>
        </w:tc>
      </w:tr>
      <w:tr w:rsidR="003D5D9D" w14:paraId="299A1100" w14:textId="77777777" w:rsidTr="00424F17">
        <w:tc>
          <w:tcPr>
            <w:tcW w:w="851" w:type="dxa"/>
          </w:tcPr>
          <w:p w14:paraId="6DA44171" w14:textId="623EB313" w:rsidR="003D5D9D" w:rsidRDefault="003D5D9D" w:rsidP="004D7563">
            <w:r w:rsidRPr="004A2EA3">
              <w:t>4.</w:t>
            </w:r>
            <w:r>
              <w:t>3</w:t>
            </w:r>
            <w:r w:rsidRPr="004A2EA3">
              <w:t>.1</w:t>
            </w:r>
          </w:p>
        </w:tc>
        <w:tc>
          <w:tcPr>
            <w:tcW w:w="4253" w:type="dxa"/>
          </w:tcPr>
          <w:p w14:paraId="516F74A6" w14:textId="1E92AF52" w:rsidR="003D5D9D" w:rsidRPr="00A65581" w:rsidRDefault="0098707B" w:rsidP="00CA7599">
            <w:r>
              <w:t xml:space="preserve">Quelle est la différence entre </w:t>
            </w:r>
            <w:r>
              <w:rPr>
                <w:rFonts w:cs="Calibri"/>
                <w:b/>
              </w:rPr>
              <w:t>« </w:t>
            </w:r>
            <w:r w:rsidR="003D5D9D">
              <w:t>établir</w:t>
            </w:r>
            <w:r>
              <w:t> »</w:t>
            </w:r>
            <w:r w:rsidR="003D5D9D">
              <w:t xml:space="preserve"> un nouveau partenariat </w:t>
            </w:r>
            <w:r>
              <w:t>et « construire »</w:t>
            </w:r>
            <w:r w:rsidR="003D5D9D" w:rsidRPr="003E59AB">
              <w:rPr>
                <w:rFonts w:cs="Calibri"/>
              </w:rPr>
              <w:t xml:space="preserve"> un nouveau partenariat</w:t>
            </w:r>
            <w:r w:rsidR="00CA7599">
              <w:rPr>
                <w:rFonts w:cs="Calibri"/>
              </w:rPr>
              <w:t xml:space="preserve"> ? </w:t>
            </w:r>
          </w:p>
        </w:tc>
        <w:tc>
          <w:tcPr>
            <w:tcW w:w="5245" w:type="dxa"/>
          </w:tcPr>
          <w:p w14:paraId="2AC42DC0" w14:textId="21AEB873" w:rsidR="003D5D9D" w:rsidRPr="005D5B32" w:rsidRDefault="003D5D9D" w:rsidP="00213C4C">
            <w:pPr>
              <w:pStyle w:val="retraitpuce2"/>
              <w:spacing w:before="0" w:after="0"/>
              <w:ind w:left="0"/>
              <w:contextualSpacing/>
            </w:pPr>
            <w:r>
              <w:t>-</w:t>
            </w:r>
            <w:r w:rsidR="000A2706">
              <w:t xml:space="preserve"> </w:t>
            </w:r>
            <w:r>
              <w:t xml:space="preserve">Etablir un nouveau partenariat : </w:t>
            </w:r>
            <w:r w:rsidRPr="005D5B32">
              <w:t>les partenaires aimeraient travailler ensemble mais n’ont pas encore de projet construit. Le projet vise donc à définir les contours d’une collaboration, qui pourra être proposée dans le prochain appel par exemple</w:t>
            </w:r>
            <w:r w:rsidR="00373146">
              <w:t>.</w:t>
            </w:r>
          </w:p>
          <w:p w14:paraId="3BDAF406" w14:textId="794A5E41" w:rsidR="003D5D9D" w:rsidRPr="005D5B32" w:rsidRDefault="003D5D9D" w:rsidP="005D5B32">
            <w:pPr>
              <w:pStyle w:val="retraitpuce2"/>
              <w:spacing w:before="0" w:after="0"/>
              <w:ind w:left="0"/>
              <w:contextualSpacing/>
              <w:rPr>
                <w:color w:val="FF0000"/>
              </w:rPr>
            </w:pPr>
            <w:r w:rsidRPr="005D5B32">
              <w:t>-</w:t>
            </w:r>
            <w:r w:rsidR="000A2706">
              <w:t xml:space="preserve"> </w:t>
            </w:r>
            <w:r w:rsidRPr="005D5B32">
              <w:t>Construire un nouveau partenariat : les partenaires ont un nouveau projet précis, qu’ils veulent mettre en œuvre grâce aux moyens du présent appel.</w:t>
            </w:r>
            <w:r>
              <w:rPr>
                <w:color w:val="FF0000"/>
              </w:rPr>
              <w:t xml:space="preserve"> </w:t>
            </w:r>
          </w:p>
        </w:tc>
      </w:tr>
      <w:tr w:rsidR="003D5D9D" w14:paraId="41F92307" w14:textId="77777777" w:rsidTr="00424F17">
        <w:tc>
          <w:tcPr>
            <w:tcW w:w="851" w:type="dxa"/>
          </w:tcPr>
          <w:p w14:paraId="25E564AB" w14:textId="79FBB717" w:rsidR="003D5D9D" w:rsidRPr="00090693" w:rsidRDefault="003D5D9D" w:rsidP="004D7563">
            <w:r w:rsidRPr="00090693">
              <w:lastRenderedPageBreak/>
              <w:t>4.3.3</w:t>
            </w:r>
          </w:p>
        </w:tc>
        <w:tc>
          <w:tcPr>
            <w:tcW w:w="4253" w:type="dxa"/>
          </w:tcPr>
          <w:p w14:paraId="6C53B6F4" w14:textId="4DDAFB92" w:rsidR="003D5D9D" w:rsidRPr="00814503" w:rsidRDefault="00DC558E" w:rsidP="004D7563">
            <w:pPr>
              <w:rPr>
                <w:b/>
                <w:bCs/>
              </w:rPr>
            </w:pPr>
            <w:r>
              <w:t>Peut-on</w:t>
            </w:r>
            <w:r w:rsidR="003D5D9D">
              <w:t xml:space="preserve"> construire une convention automatique de valorisation avec la </w:t>
            </w:r>
            <w:r w:rsidR="007E0296">
              <w:t>Fédération Wallonie-Bruxelles</w:t>
            </w:r>
            <w:r w:rsidR="003D5D9D">
              <w:t> ?</w:t>
            </w:r>
          </w:p>
        </w:tc>
        <w:tc>
          <w:tcPr>
            <w:tcW w:w="5245" w:type="dxa"/>
          </w:tcPr>
          <w:p w14:paraId="629EAFBE" w14:textId="24DAA7A2" w:rsidR="003D5D9D" w:rsidRDefault="003D5D9D" w:rsidP="00B8483E">
            <w:r w:rsidRPr="00090693">
              <w:rPr>
                <w:lang w:eastAsia="fr-BE"/>
              </w:rPr>
              <w:t>Le texte de l’appel ne vise pas explicitement la FWB. Afin d’éviter la non-éligibilité du projet, il est conseill</w:t>
            </w:r>
            <w:r w:rsidR="00523EB2">
              <w:rPr>
                <w:lang w:eastAsia="fr-BE"/>
              </w:rPr>
              <w:t>é</w:t>
            </w:r>
            <w:r w:rsidRPr="00090693">
              <w:rPr>
                <w:lang w:eastAsia="fr-BE"/>
              </w:rPr>
              <w:t xml:space="preserve"> de passer par une école de Promotion Sociale.</w:t>
            </w:r>
          </w:p>
        </w:tc>
      </w:tr>
      <w:tr w:rsidR="003D5D9D" w14:paraId="1897533B" w14:textId="77777777" w:rsidTr="00424F17">
        <w:tc>
          <w:tcPr>
            <w:tcW w:w="851" w:type="dxa"/>
          </w:tcPr>
          <w:p w14:paraId="4374E5EF" w14:textId="5303AAFB" w:rsidR="003D5D9D" w:rsidRPr="00090693" w:rsidRDefault="003D5D9D" w:rsidP="004D7563">
            <w:r>
              <w:t>4.3.4</w:t>
            </w:r>
          </w:p>
        </w:tc>
        <w:tc>
          <w:tcPr>
            <w:tcW w:w="4253" w:type="dxa"/>
          </w:tcPr>
          <w:p w14:paraId="76A5DAC3" w14:textId="1778F498" w:rsidR="003D5D9D" w:rsidRDefault="003D5D9D" w:rsidP="00090693">
            <w:r>
              <w:t>Qu</w:t>
            </w:r>
            <w:r w:rsidR="000B0B0E">
              <w:t>i sont les</w:t>
            </w:r>
            <w:r>
              <w:t xml:space="preserve"> opérateurs de formation qualifiant</w:t>
            </w:r>
            <w:r w:rsidR="000B0B0E">
              <w:t>e</w:t>
            </w:r>
            <w:r>
              <w:t xml:space="preserve"> certifiant en dehors de ceux concernés par la CECAF précitée</w:t>
            </w:r>
            <w:r w:rsidR="000B0B0E">
              <w:t xml:space="preserve"> ? </w:t>
            </w:r>
          </w:p>
        </w:tc>
        <w:tc>
          <w:tcPr>
            <w:tcW w:w="5245" w:type="dxa"/>
          </w:tcPr>
          <w:p w14:paraId="53C65BFB" w14:textId="29FF9ED2" w:rsidR="003D5D9D" w:rsidRPr="00090693" w:rsidRDefault="003D5D9D" w:rsidP="00090693">
            <w:pPr>
              <w:rPr>
                <w:lang w:eastAsia="fr-BE"/>
              </w:rPr>
            </w:pPr>
            <w:r w:rsidRPr="00090693">
              <w:t>Un fond sectoriel qui délivre une certification sectorielle par exemple.</w:t>
            </w:r>
          </w:p>
        </w:tc>
      </w:tr>
      <w:tr w:rsidR="003D5D9D" w14:paraId="5CA8B59F" w14:textId="77777777" w:rsidTr="00424F17">
        <w:tc>
          <w:tcPr>
            <w:tcW w:w="851" w:type="dxa"/>
          </w:tcPr>
          <w:p w14:paraId="490A5331" w14:textId="149DE49C" w:rsidR="003D5D9D" w:rsidRPr="00814503" w:rsidRDefault="003D5D9D" w:rsidP="004D7563">
            <w:pPr>
              <w:rPr>
                <w:b/>
                <w:bCs/>
              </w:rPr>
            </w:pPr>
            <w:r w:rsidRPr="00814503">
              <w:rPr>
                <w:b/>
                <w:bCs/>
              </w:rPr>
              <w:t>4.4</w:t>
            </w:r>
          </w:p>
        </w:tc>
        <w:tc>
          <w:tcPr>
            <w:tcW w:w="4253" w:type="dxa"/>
          </w:tcPr>
          <w:p w14:paraId="2C266408" w14:textId="66872BC1" w:rsidR="003D5D9D" w:rsidRPr="00814503" w:rsidRDefault="003D5D9D" w:rsidP="004D7563">
            <w:pPr>
              <w:rPr>
                <w:b/>
                <w:bCs/>
              </w:rPr>
            </w:pPr>
            <w:r w:rsidRPr="00814503">
              <w:rPr>
                <w:b/>
                <w:bCs/>
              </w:rPr>
              <w:t>Pertinence</w:t>
            </w:r>
          </w:p>
        </w:tc>
        <w:tc>
          <w:tcPr>
            <w:tcW w:w="5245" w:type="dxa"/>
          </w:tcPr>
          <w:p w14:paraId="57D84997" w14:textId="77777777" w:rsidR="003D5D9D" w:rsidRDefault="003D5D9D" w:rsidP="004D7563"/>
        </w:tc>
      </w:tr>
      <w:tr w:rsidR="003D5D9D" w14:paraId="058CF521" w14:textId="77777777" w:rsidTr="00424F17">
        <w:tc>
          <w:tcPr>
            <w:tcW w:w="851" w:type="dxa"/>
          </w:tcPr>
          <w:p w14:paraId="311F54D6" w14:textId="6A4CB611" w:rsidR="003D5D9D" w:rsidRDefault="003D5D9D" w:rsidP="004D7563">
            <w:r>
              <w:t>4.4.1</w:t>
            </w:r>
          </w:p>
        </w:tc>
        <w:tc>
          <w:tcPr>
            <w:tcW w:w="4253" w:type="dxa"/>
          </w:tcPr>
          <w:p w14:paraId="1A066518" w14:textId="218BC127" w:rsidR="003D5D9D" w:rsidRPr="00A65581" w:rsidRDefault="003D5D9D" w:rsidP="004D7563">
            <w:r>
              <w:t xml:space="preserve">Le </w:t>
            </w:r>
            <w:r w:rsidRPr="00B21922">
              <w:t>formulaire demande de détailler les articulations pr</w:t>
            </w:r>
            <w:r>
              <w:t xml:space="preserve">évues en amont, pendant et en aval de l'action entre les partenaires bénéficiaires. </w:t>
            </w:r>
            <w:r w:rsidR="000B0B0E">
              <w:t xml:space="preserve">Qu’entend-on </w:t>
            </w:r>
            <w:r>
              <w:t xml:space="preserve">par </w:t>
            </w:r>
            <w:r w:rsidR="000B0B0E">
              <w:t>« </w:t>
            </w:r>
            <w:r>
              <w:t>articulation</w:t>
            </w:r>
            <w:r w:rsidR="000B0B0E">
              <w:t> »</w:t>
            </w:r>
            <w:r>
              <w:t> ?</w:t>
            </w:r>
          </w:p>
        </w:tc>
        <w:tc>
          <w:tcPr>
            <w:tcW w:w="5245" w:type="dxa"/>
          </w:tcPr>
          <w:p w14:paraId="4A837670" w14:textId="4C4FBC82" w:rsidR="003D5D9D" w:rsidRDefault="003D5D9D" w:rsidP="00B21922">
            <w:r>
              <w:t xml:space="preserve">On vise ici la manière dont </w:t>
            </w:r>
            <w:r w:rsidRPr="00B21922">
              <w:t>les partenaires envisagent de collaborer</w:t>
            </w:r>
            <w:r>
              <w:t xml:space="preserve">. </w:t>
            </w:r>
          </w:p>
          <w:p w14:paraId="74AD6071" w14:textId="35AD08C0" w:rsidR="003D5D9D" w:rsidRDefault="003D5D9D" w:rsidP="00B21922">
            <w:r>
              <w:t xml:space="preserve">Par exemple, </w:t>
            </w:r>
            <w:r w:rsidRPr="00B21922">
              <w:t>si deux partenaires veulent travailler sur des référentiels de formation complémentaires, ils vont en amont définir une méthodo</w:t>
            </w:r>
            <w:r>
              <w:t>logie</w:t>
            </w:r>
            <w:r w:rsidRPr="00B21922">
              <w:t xml:space="preserve"> de travail, pendant l’action ils vont travailler en GT et faire remonter d’éventuelles difficultés dans leur copil et en aval, ils vont prévoir des actions précises pour faire en sorte que ce qu’ils ont développé se traduise concrètement dans les actes, et évaluer si in fine ça </w:t>
            </w:r>
            <w:r w:rsidR="00567F3D">
              <w:t>fonctionne</w:t>
            </w:r>
            <w:r w:rsidR="00567F3D" w:rsidRPr="00B21922">
              <w:t xml:space="preserve"> </w:t>
            </w:r>
            <w:r w:rsidRPr="00B21922">
              <w:t>ou s’il faut adapter des choses dans le référentiel</w:t>
            </w:r>
            <w:r>
              <w:t xml:space="preserve">. </w:t>
            </w:r>
          </w:p>
          <w:p w14:paraId="2FE5BC9C" w14:textId="2EA6B46A" w:rsidR="003D5D9D" w:rsidRDefault="003D5D9D" w:rsidP="00B21922">
            <w:r>
              <w:t>Exemple 2</w:t>
            </w:r>
            <w:r w:rsidR="000B0B0E">
              <w:t xml:space="preserve"> </w:t>
            </w:r>
            <w:r w:rsidRPr="00B21922">
              <w:t xml:space="preserve">: si on </w:t>
            </w:r>
            <w:r w:rsidR="000B0B0E">
              <w:t>organise</w:t>
            </w:r>
            <w:r w:rsidR="000B0B0E" w:rsidRPr="00B21922">
              <w:t xml:space="preserve"> </w:t>
            </w:r>
            <w:r w:rsidRPr="00B21922">
              <w:t xml:space="preserve">une formation concomitante, il faut que les choses soient bien organisées en amont, puis </w:t>
            </w:r>
            <w:proofErr w:type="gramStart"/>
            <w:r w:rsidRPr="00B21922">
              <w:t>voir</w:t>
            </w:r>
            <w:proofErr w:type="gramEnd"/>
            <w:r w:rsidRPr="00B21922">
              <w:t xml:space="preserve"> comment ça se passe pendant l’action et comment on règle d’éventuelles difficultés et en aval voir ce que ça a donné et améliorer le cas échéant.</w:t>
            </w:r>
          </w:p>
          <w:p w14:paraId="02610AE9" w14:textId="20623BA2" w:rsidR="003D5D9D" w:rsidRDefault="00AD0472" w:rsidP="00D4312F">
            <w:r>
              <w:t>L’articulation peut par exemple prendre la forme</w:t>
            </w:r>
            <w:r w:rsidR="003D5D9D" w:rsidRPr="00B21922">
              <w:t xml:space="preserve"> d’un copil ou autre</w:t>
            </w:r>
            <w:r w:rsidR="003D5D9D">
              <w:t>.</w:t>
            </w:r>
          </w:p>
        </w:tc>
      </w:tr>
      <w:tr w:rsidR="003D5D9D" w14:paraId="508F1016" w14:textId="77777777" w:rsidTr="00424F17">
        <w:tc>
          <w:tcPr>
            <w:tcW w:w="851" w:type="dxa"/>
          </w:tcPr>
          <w:p w14:paraId="415818D4" w14:textId="6B619E81" w:rsidR="003D5D9D" w:rsidRPr="00814503" w:rsidRDefault="003D5D9D" w:rsidP="004D7563">
            <w:pPr>
              <w:rPr>
                <w:b/>
                <w:bCs/>
              </w:rPr>
            </w:pPr>
            <w:r w:rsidRPr="00814503">
              <w:rPr>
                <w:b/>
                <w:bCs/>
              </w:rPr>
              <w:t>5</w:t>
            </w:r>
          </w:p>
        </w:tc>
        <w:tc>
          <w:tcPr>
            <w:tcW w:w="4253" w:type="dxa"/>
          </w:tcPr>
          <w:p w14:paraId="6BBD4312" w14:textId="50D2C44B" w:rsidR="003D5D9D" w:rsidRPr="00814503" w:rsidRDefault="003D5D9D" w:rsidP="002C6625">
            <w:pPr>
              <w:rPr>
                <w:b/>
                <w:bCs/>
              </w:rPr>
            </w:pPr>
            <w:r w:rsidRPr="00814503">
              <w:rPr>
                <w:b/>
                <w:bCs/>
              </w:rPr>
              <w:t xml:space="preserve">Financement </w:t>
            </w:r>
          </w:p>
        </w:tc>
        <w:tc>
          <w:tcPr>
            <w:tcW w:w="5245" w:type="dxa"/>
          </w:tcPr>
          <w:p w14:paraId="56C3035F" w14:textId="77777777" w:rsidR="003D5D9D" w:rsidRDefault="003D5D9D" w:rsidP="004D7563"/>
        </w:tc>
      </w:tr>
      <w:tr w:rsidR="003D5D9D" w14:paraId="42C6DE89" w14:textId="77777777" w:rsidTr="00424F17">
        <w:tc>
          <w:tcPr>
            <w:tcW w:w="851" w:type="dxa"/>
          </w:tcPr>
          <w:p w14:paraId="6657660E" w14:textId="0E34D50C" w:rsidR="003D5D9D" w:rsidRDefault="003D5D9D" w:rsidP="004D7563">
            <w:r>
              <w:t>5.1</w:t>
            </w:r>
          </w:p>
        </w:tc>
        <w:tc>
          <w:tcPr>
            <w:tcW w:w="4253" w:type="dxa"/>
          </w:tcPr>
          <w:p w14:paraId="41F3092B" w14:textId="739667AD" w:rsidR="003D5D9D" w:rsidRDefault="00AD0472" w:rsidP="004D7563">
            <w:r>
              <w:t>U</w:t>
            </w:r>
            <w:r w:rsidR="003D5D9D">
              <w:t xml:space="preserve">n modèle </w:t>
            </w:r>
            <w:r>
              <w:t xml:space="preserve">d’arrêté de subvention </w:t>
            </w:r>
            <w:r w:rsidR="003D5D9D">
              <w:t>est</w:t>
            </w:r>
            <w:r>
              <w:t>-il</w:t>
            </w:r>
            <w:r w:rsidR="003D5D9D">
              <w:t xml:space="preserve"> déjà disponible ?</w:t>
            </w:r>
          </w:p>
        </w:tc>
        <w:tc>
          <w:tcPr>
            <w:tcW w:w="5245" w:type="dxa"/>
          </w:tcPr>
          <w:p w14:paraId="23B3878C" w14:textId="3CA86B5E" w:rsidR="003D5D9D" w:rsidRDefault="003D5D9D" w:rsidP="004D7563">
            <w:r>
              <w:t xml:space="preserve">Non. Il s’agit d’un arrêté de subventionnement classique. </w:t>
            </w:r>
          </w:p>
        </w:tc>
      </w:tr>
      <w:tr w:rsidR="003D5D9D" w14:paraId="402A9045" w14:textId="77777777" w:rsidTr="00424F17">
        <w:tc>
          <w:tcPr>
            <w:tcW w:w="851" w:type="dxa"/>
          </w:tcPr>
          <w:p w14:paraId="09139A2B" w14:textId="70D0453E" w:rsidR="003D5D9D" w:rsidRDefault="003D5D9D" w:rsidP="004D7563">
            <w:r>
              <w:t>5.2</w:t>
            </w:r>
          </w:p>
        </w:tc>
        <w:tc>
          <w:tcPr>
            <w:tcW w:w="4253" w:type="dxa"/>
          </w:tcPr>
          <w:p w14:paraId="500E2C3A" w14:textId="222ADABF" w:rsidR="003D5D9D" w:rsidRDefault="003D5D9D" w:rsidP="004D7563">
            <w:r>
              <w:t>Quid si un partenariat n’aboutit pas ?</w:t>
            </w:r>
          </w:p>
        </w:tc>
        <w:tc>
          <w:tcPr>
            <w:tcW w:w="5245" w:type="dxa"/>
          </w:tcPr>
          <w:p w14:paraId="482A493B" w14:textId="194CAD6A" w:rsidR="003D5D9D" w:rsidRPr="006B6833" w:rsidRDefault="003D5D9D" w:rsidP="006B6833">
            <w:r w:rsidRPr="006B6833">
              <w:t xml:space="preserve">Les petits projets qui visent à établir un nouveau partenariat ne seront pas sanctionnés, dès lors qu’ils expliquent pourquoi ça n’a pas fonctionné (l’idée étant de lever les freins). </w:t>
            </w:r>
            <w:proofErr w:type="gramStart"/>
            <w:r w:rsidRPr="006B6833">
              <w:t>Par contre</w:t>
            </w:r>
            <w:proofErr w:type="gramEnd"/>
            <w:r w:rsidRPr="006B6833">
              <w:t>, s</w:t>
            </w:r>
            <w:r w:rsidR="006F3A88">
              <w:t>i le projet aboutit</w:t>
            </w:r>
            <w:r w:rsidRPr="006B6833">
              <w:t xml:space="preserve">, on envisage un critère de priorité pour être retenu dans le prochain appel. </w:t>
            </w:r>
          </w:p>
          <w:p w14:paraId="7742EA9A" w14:textId="77777777" w:rsidR="003D5D9D" w:rsidRDefault="003D5D9D" w:rsidP="006B6833">
            <w:r w:rsidRPr="006B6833">
              <w:t>Dans un projet de partenariat construit, si le projet s’arrête, on ne paiera que ce qui a été « consommé » comme budget et puisqu’on aura versé 80% de la subvention, on récupérera le trop-perçu le cas échéant</w:t>
            </w:r>
            <w:r>
              <w:t>.</w:t>
            </w:r>
          </w:p>
          <w:p w14:paraId="4AC38749" w14:textId="781243BA" w:rsidR="003D5D9D" w:rsidRDefault="003D5D9D" w:rsidP="001502CA">
            <w:r>
              <w:t xml:space="preserve">Avant d’en arriver là, le </w:t>
            </w:r>
            <w:r w:rsidRPr="001502CA">
              <w:t>comité d’accompagnement sera mobilisé pour trouver une solution</w:t>
            </w:r>
            <w:r>
              <w:t>.</w:t>
            </w:r>
            <w:r w:rsidRPr="001502CA">
              <w:t xml:space="preserve"> </w:t>
            </w:r>
          </w:p>
        </w:tc>
      </w:tr>
      <w:tr w:rsidR="003D5D9D" w14:paraId="1F3B0010" w14:textId="77777777" w:rsidTr="00424F17">
        <w:tc>
          <w:tcPr>
            <w:tcW w:w="851" w:type="dxa"/>
          </w:tcPr>
          <w:p w14:paraId="40A2FD72" w14:textId="5B391455" w:rsidR="003D5D9D" w:rsidRDefault="003D5D9D" w:rsidP="004D7563">
            <w:r>
              <w:lastRenderedPageBreak/>
              <w:t>5.3</w:t>
            </w:r>
          </w:p>
        </w:tc>
        <w:tc>
          <w:tcPr>
            <w:tcW w:w="4253" w:type="dxa"/>
          </w:tcPr>
          <w:p w14:paraId="47E1C7B2" w14:textId="6FBD398B" w:rsidR="003D5D9D" w:rsidRPr="00916B67" w:rsidRDefault="003D5D9D" w:rsidP="004D7563">
            <w:r w:rsidRPr="00916B67">
              <w:rPr>
                <w:rFonts w:eastAsia="Times New Roman"/>
              </w:rPr>
              <w:t xml:space="preserve">Si on fait appel à des formateurs externes, </w:t>
            </w:r>
            <w:r w:rsidR="006F3A88">
              <w:rPr>
                <w:rFonts w:eastAsia="Times New Roman"/>
              </w:rPr>
              <w:t>où inscrit-on les</w:t>
            </w:r>
            <w:r w:rsidR="00576E62">
              <w:rPr>
                <w:rFonts w:eastAsia="Times New Roman"/>
              </w:rPr>
              <w:t xml:space="preserve"> coûts y liés dans le budget ?</w:t>
            </w:r>
          </w:p>
        </w:tc>
        <w:tc>
          <w:tcPr>
            <w:tcW w:w="5245" w:type="dxa"/>
          </w:tcPr>
          <w:p w14:paraId="0ACFE1B3" w14:textId="77777777" w:rsidR="00576E62" w:rsidRDefault="003D5D9D" w:rsidP="006B6833">
            <w:pPr>
              <w:rPr>
                <w:rFonts w:eastAsia="Times New Roman"/>
              </w:rPr>
            </w:pPr>
            <w:r w:rsidRPr="00916B67">
              <w:rPr>
                <w:rFonts w:eastAsia="Times New Roman"/>
              </w:rPr>
              <w:t xml:space="preserve">Ce sont des frais de consultance donc des frais de projets. </w:t>
            </w:r>
            <w:r w:rsidR="00576E62">
              <w:rPr>
                <w:rFonts w:eastAsia="Times New Roman"/>
              </w:rPr>
              <w:t xml:space="preserve">Les frais « RH » sont les frais de personnel sous contrat dans l’institution. </w:t>
            </w:r>
          </w:p>
          <w:p w14:paraId="3BB6C3DE" w14:textId="3EE674D7" w:rsidR="003D5D9D" w:rsidRPr="00916B67" w:rsidRDefault="00576E62" w:rsidP="00664E8D">
            <w:r>
              <w:rPr>
                <w:rFonts w:eastAsia="Times New Roman"/>
              </w:rPr>
              <w:t xml:space="preserve">! </w:t>
            </w:r>
            <w:r w:rsidR="003D5D9D" w:rsidRPr="00916B67">
              <w:rPr>
                <w:rFonts w:eastAsia="Times New Roman"/>
              </w:rPr>
              <w:t>Pas de frais généraux calculés sur de la consultance.</w:t>
            </w:r>
          </w:p>
        </w:tc>
      </w:tr>
      <w:tr w:rsidR="003D5D9D" w14:paraId="59CCD4D6" w14:textId="77777777" w:rsidTr="00424F17">
        <w:tc>
          <w:tcPr>
            <w:tcW w:w="851" w:type="dxa"/>
          </w:tcPr>
          <w:p w14:paraId="4E53120C" w14:textId="1618455E" w:rsidR="003D5D9D" w:rsidRDefault="003D5D9D" w:rsidP="00916B67">
            <w:r>
              <w:t>5.4</w:t>
            </w:r>
          </w:p>
        </w:tc>
        <w:tc>
          <w:tcPr>
            <w:tcW w:w="4253" w:type="dxa"/>
          </w:tcPr>
          <w:p w14:paraId="63E83C1C" w14:textId="2F3C1971" w:rsidR="003D5D9D" w:rsidRPr="00916B67" w:rsidRDefault="003D5D9D" w:rsidP="001A663A">
            <w:pPr>
              <w:rPr>
                <w:rFonts w:eastAsia="Times New Roman"/>
              </w:rPr>
            </w:pPr>
            <w:r>
              <w:rPr>
                <w:rFonts w:eastAsia="Times New Roman"/>
              </w:rPr>
              <w:t xml:space="preserve">Si des stagiaires se rendent chez un partenaire externe </w:t>
            </w:r>
            <w:r w:rsidR="00664E8D">
              <w:rPr>
                <w:rFonts w:eastAsia="Times New Roman"/>
              </w:rPr>
              <w:t xml:space="preserve">éloigné, les </w:t>
            </w:r>
            <w:r>
              <w:rPr>
                <w:rFonts w:eastAsia="Times New Roman"/>
              </w:rPr>
              <w:t>frais de déplacement du stagiaire</w:t>
            </w:r>
            <w:r w:rsidR="00664E8D">
              <w:rPr>
                <w:rFonts w:eastAsia="Times New Roman"/>
              </w:rPr>
              <w:t xml:space="preserve"> sont-ils éligibles ? </w:t>
            </w:r>
          </w:p>
        </w:tc>
        <w:tc>
          <w:tcPr>
            <w:tcW w:w="5245" w:type="dxa"/>
          </w:tcPr>
          <w:p w14:paraId="5F56F1A3" w14:textId="76D82FBF" w:rsidR="003D5D9D" w:rsidRPr="00916B67" w:rsidRDefault="003D5D9D" w:rsidP="00916B67">
            <w:pPr>
              <w:rPr>
                <w:rFonts w:eastAsia="Times New Roman"/>
              </w:rPr>
            </w:pPr>
            <w:r w:rsidRPr="008A3F9B">
              <w:rPr>
                <w:rFonts w:eastAsia="Times New Roman"/>
              </w:rPr>
              <w:t xml:space="preserve">Oui </w:t>
            </w:r>
            <w:r w:rsidR="00664E8D">
              <w:rPr>
                <w:rFonts w:eastAsia="Times New Roman"/>
              </w:rPr>
              <w:t>(frais de projet)</w:t>
            </w:r>
            <w:r w:rsidR="00C05A69">
              <w:rPr>
                <w:rFonts w:eastAsia="Times New Roman"/>
              </w:rPr>
              <w:t>.</w:t>
            </w:r>
          </w:p>
        </w:tc>
      </w:tr>
      <w:tr w:rsidR="003D5D9D" w14:paraId="18811278" w14:textId="77777777" w:rsidTr="00424F17">
        <w:tc>
          <w:tcPr>
            <w:tcW w:w="851" w:type="dxa"/>
          </w:tcPr>
          <w:p w14:paraId="38B24341" w14:textId="127C9CB3" w:rsidR="003D5D9D" w:rsidRDefault="003D5D9D" w:rsidP="00916B67">
            <w:r>
              <w:t>5.5</w:t>
            </w:r>
          </w:p>
        </w:tc>
        <w:tc>
          <w:tcPr>
            <w:tcW w:w="4253" w:type="dxa"/>
          </w:tcPr>
          <w:p w14:paraId="29CAF3D9" w14:textId="589112A2" w:rsidR="003D5D9D" w:rsidRDefault="00870783" w:rsidP="001A663A">
            <w:pPr>
              <w:spacing w:before="0" w:after="0"/>
              <w:rPr>
                <w:rFonts w:eastAsia="Times New Roman"/>
              </w:rPr>
            </w:pPr>
            <w:r>
              <w:rPr>
                <w:rFonts w:eastAsia="Times New Roman"/>
              </w:rPr>
              <w:t xml:space="preserve">Une </w:t>
            </w:r>
            <w:r w:rsidR="003D5D9D" w:rsidRPr="003115A6">
              <w:rPr>
                <w:rFonts w:eastAsia="Times New Roman"/>
              </w:rPr>
              <w:t>action de formation peut</w:t>
            </w:r>
            <w:r>
              <w:rPr>
                <w:rFonts w:eastAsia="Times New Roman"/>
              </w:rPr>
              <w:t>-elle</w:t>
            </w:r>
            <w:r w:rsidR="003D5D9D" w:rsidRPr="003115A6">
              <w:rPr>
                <w:rFonts w:eastAsia="Times New Roman"/>
              </w:rPr>
              <w:t xml:space="preserve"> se </w:t>
            </w:r>
            <w:r>
              <w:rPr>
                <w:rFonts w:eastAsia="Times New Roman"/>
              </w:rPr>
              <w:t>dérouler</w:t>
            </w:r>
            <w:r w:rsidR="003D5D9D" w:rsidRPr="003115A6">
              <w:rPr>
                <w:rFonts w:eastAsia="Times New Roman"/>
              </w:rPr>
              <w:t xml:space="preserve"> dans un centre de proximité pour </w:t>
            </w:r>
            <w:r w:rsidR="00664E8D">
              <w:rPr>
                <w:rFonts w:eastAsia="Times New Roman"/>
              </w:rPr>
              <w:t>réduire</w:t>
            </w:r>
            <w:r w:rsidR="00664E8D" w:rsidRPr="003115A6">
              <w:rPr>
                <w:rFonts w:eastAsia="Times New Roman"/>
              </w:rPr>
              <w:t xml:space="preserve"> </w:t>
            </w:r>
            <w:r w:rsidR="003D5D9D" w:rsidRPr="003115A6">
              <w:rPr>
                <w:rFonts w:eastAsia="Times New Roman"/>
              </w:rPr>
              <w:t>les frais de déplacement</w:t>
            </w:r>
            <w:r w:rsidR="00664E8D">
              <w:rPr>
                <w:rFonts w:eastAsia="Times New Roman"/>
              </w:rPr>
              <w:t> </w:t>
            </w:r>
            <w:r w:rsidR="003D5D9D" w:rsidRPr="003115A6">
              <w:rPr>
                <w:rFonts w:eastAsia="Times New Roman"/>
              </w:rPr>
              <w:t>(éventuelle location d’une salle) ?</w:t>
            </w:r>
          </w:p>
        </w:tc>
        <w:tc>
          <w:tcPr>
            <w:tcW w:w="5245" w:type="dxa"/>
          </w:tcPr>
          <w:p w14:paraId="69F9A080" w14:textId="0625E53E" w:rsidR="003D5D9D" w:rsidRPr="008A3F9B" w:rsidRDefault="003D5D9D" w:rsidP="00916B67">
            <w:pPr>
              <w:rPr>
                <w:rFonts w:eastAsia="Times New Roman"/>
              </w:rPr>
            </w:pPr>
            <w:r>
              <w:rPr>
                <w:rFonts w:eastAsia="Times New Roman"/>
              </w:rPr>
              <w:t>Oui</w:t>
            </w:r>
            <w:r w:rsidR="00664E8D">
              <w:rPr>
                <w:rFonts w:eastAsia="Times New Roman"/>
              </w:rPr>
              <w:t xml:space="preserve"> (frais de projet)</w:t>
            </w:r>
            <w:r w:rsidR="00C05A69">
              <w:rPr>
                <w:rFonts w:eastAsia="Times New Roman"/>
              </w:rPr>
              <w:t>.</w:t>
            </w:r>
          </w:p>
        </w:tc>
      </w:tr>
      <w:tr w:rsidR="003D5D9D" w14:paraId="45A0B17A" w14:textId="77777777" w:rsidTr="00424F17">
        <w:tc>
          <w:tcPr>
            <w:tcW w:w="851" w:type="dxa"/>
          </w:tcPr>
          <w:p w14:paraId="2C93BA4F" w14:textId="382218E1" w:rsidR="003D5D9D" w:rsidRDefault="003D5D9D" w:rsidP="00916B67">
            <w:r>
              <w:t>5.6</w:t>
            </w:r>
          </w:p>
        </w:tc>
        <w:tc>
          <w:tcPr>
            <w:tcW w:w="4253" w:type="dxa"/>
          </w:tcPr>
          <w:p w14:paraId="3A5F3FFE" w14:textId="200496C8" w:rsidR="003D5D9D" w:rsidRPr="003115A6" w:rsidRDefault="000605DE" w:rsidP="003115A6">
            <w:pPr>
              <w:spacing w:before="0" w:after="0"/>
              <w:jc w:val="left"/>
              <w:rPr>
                <w:rFonts w:eastAsia="Times New Roman"/>
              </w:rPr>
            </w:pPr>
            <w:r>
              <w:rPr>
                <w:rFonts w:eastAsia="Times New Roman"/>
              </w:rPr>
              <w:t>L</w:t>
            </w:r>
            <w:r w:rsidR="003D5D9D">
              <w:rPr>
                <w:rFonts w:eastAsia="Times New Roman"/>
              </w:rPr>
              <w:t xml:space="preserve">es frais de la validation des compétences </w:t>
            </w:r>
            <w:r>
              <w:rPr>
                <w:rFonts w:eastAsia="Times New Roman"/>
              </w:rPr>
              <w:t xml:space="preserve">sont-ils éligibles ? </w:t>
            </w:r>
          </w:p>
        </w:tc>
        <w:tc>
          <w:tcPr>
            <w:tcW w:w="5245" w:type="dxa"/>
          </w:tcPr>
          <w:p w14:paraId="3CA602C6" w14:textId="44041763" w:rsidR="00C73BCC" w:rsidRDefault="000605DE" w:rsidP="00996895">
            <w:pPr>
              <w:spacing w:before="0" w:after="0"/>
              <w:jc w:val="left"/>
              <w:rPr>
                <w:rFonts w:eastAsia="Times New Roman"/>
              </w:rPr>
            </w:pPr>
            <w:r>
              <w:rPr>
                <w:rFonts w:eastAsia="Times New Roman"/>
              </w:rPr>
              <w:t xml:space="preserve">Oui (frais de projet). </w:t>
            </w:r>
          </w:p>
          <w:p w14:paraId="7326BE33" w14:textId="2D103387" w:rsidR="003D5D9D" w:rsidRDefault="000605DE" w:rsidP="00C05A69">
            <w:pPr>
              <w:spacing w:before="0" w:after="0"/>
              <w:jc w:val="left"/>
              <w:rPr>
                <w:rFonts w:eastAsia="Times New Roman"/>
              </w:rPr>
            </w:pPr>
            <w:r>
              <w:rPr>
                <w:rFonts w:eastAsia="Times New Roman"/>
              </w:rPr>
              <w:t xml:space="preserve">Attention toutefois : les centres de validation sont déjà financés pour ces missions. </w:t>
            </w:r>
            <w:r w:rsidR="00C73BCC">
              <w:rPr>
                <w:rFonts w:eastAsia="Times New Roman"/>
              </w:rPr>
              <w:t xml:space="preserve">Aucune dépense ne peut faire l’objet d’un double subventionnement. </w:t>
            </w:r>
            <w:r w:rsidR="003D5D9D" w:rsidRPr="00C90279">
              <w:rPr>
                <w:rFonts w:eastAsia="Times New Roman"/>
              </w:rPr>
              <w:t xml:space="preserve"> </w:t>
            </w:r>
          </w:p>
        </w:tc>
      </w:tr>
      <w:tr w:rsidR="003D5D9D" w14:paraId="55B426D2" w14:textId="77777777" w:rsidTr="00424F17">
        <w:tc>
          <w:tcPr>
            <w:tcW w:w="851" w:type="dxa"/>
            <w:shd w:val="clear" w:color="auto" w:fill="auto"/>
          </w:tcPr>
          <w:p w14:paraId="7C58F9F5" w14:textId="4A4FE846" w:rsidR="003D5D9D" w:rsidRDefault="007A52D2" w:rsidP="00916B67">
            <w:r>
              <w:t>5.7</w:t>
            </w:r>
          </w:p>
        </w:tc>
        <w:tc>
          <w:tcPr>
            <w:tcW w:w="4253" w:type="dxa"/>
            <w:shd w:val="clear" w:color="auto" w:fill="auto"/>
          </w:tcPr>
          <w:p w14:paraId="7C7A2ADB" w14:textId="36CEE040" w:rsidR="003D5D9D" w:rsidRPr="003D4B7A" w:rsidRDefault="005873F9" w:rsidP="00916B67">
            <w:pPr>
              <w:rPr>
                <w:rFonts w:eastAsia="Times New Roman"/>
              </w:rPr>
            </w:pPr>
            <w:r w:rsidRPr="003D4B7A">
              <w:rPr>
                <w:rFonts w:eastAsia="Times New Roman"/>
              </w:rPr>
              <w:t>Y a-t-il un guide des dépenses éligibles</w:t>
            </w:r>
            <w:r w:rsidR="00676739" w:rsidRPr="003D4B7A">
              <w:rPr>
                <w:rFonts w:eastAsia="Times New Roman"/>
              </w:rPr>
              <w:t> ?</w:t>
            </w:r>
          </w:p>
        </w:tc>
        <w:tc>
          <w:tcPr>
            <w:tcW w:w="5245" w:type="dxa"/>
            <w:shd w:val="clear" w:color="auto" w:fill="auto"/>
          </w:tcPr>
          <w:p w14:paraId="75CB0153" w14:textId="2B2795DA" w:rsidR="003D5D9D" w:rsidRPr="003D4B7A" w:rsidRDefault="00676739" w:rsidP="00916B67">
            <w:pPr>
              <w:rPr>
                <w:rFonts w:eastAsia="Times New Roman"/>
              </w:rPr>
            </w:pPr>
            <w:r w:rsidRPr="003D4B7A">
              <w:rPr>
                <w:rFonts w:eastAsia="Times New Roman"/>
              </w:rPr>
              <w:t xml:space="preserve">Le guide est en cours de finalisation. </w:t>
            </w:r>
          </w:p>
        </w:tc>
      </w:tr>
      <w:tr w:rsidR="003D5D9D" w14:paraId="26199412" w14:textId="77777777" w:rsidTr="00424F17">
        <w:tc>
          <w:tcPr>
            <w:tcW w:w="851" w:type="dxa"/>
            <w:shd w:val="clear" w:color="auto" w:fill="auto"/>
          </w:tcPr>
          <w:p w14:paraId="77B016DA" w14:textId="39F0EBC2" w:rsidR="003D5D9D" w:rsidRPr="003D4B7A" w:rsidRDefault="007A52D2" w:rsidP="00916B67">
            <w:r>
              <w:t>5.8</w:t>
            </w:r>
          </w:p>
        </w:tc>
        <w:tc>
          <w:tcPr>
            <w:tcW w:w="4253" w:type="dxa"/>
            <w:shd w:val="clear" w:color="auto" w:fill="auto"/>
          </w:tcPr>
          <w:p w14:paraId="3969B16A" w14:textId="565EEC6A" w:rsidR="003D5D9D" w:rsidRPr="003D4B7A" w:rsidRDefault="00A40616" w:rsidP="00916B67">
            <w:pPr>
              <w:rPr>
                <w:rFonts w:eastAsia="Times New Roman"/>
              </w:rPr>
            </w:pPr>
            <w:r w:rsidRPr="003D4B7A">
              <w:rPr>
                <w:rFonts w:eastAsia="Times New Roman"/>
              </w:rPr>
              <w:t>Quel est le budget de l’appel à projets</w:t>
            </w:r>
            <w:r w:rsidR="00B97E7A">
              <w:rPr>
                <w:rFonts w:eastAsia="Times New Roman"/>
              </w:rPr>
              <w:t> ?</w:t>
            </w:r>
          </w:p>
        </w:tc>
        <w:tc>
          <w:tcPr>
            <w:tcW w:w="5245" w:type="dxa"/>
            <w:shd w:val="clear" w:color="auto" w:fill="auto"/>
          </w:tcPr>
          <w:p w14:paraId="26C8120A" w14:textId="50829799" w:rsidR="003D5D9D" w:rsidRPr="003D4B7A" w:rsidRDefault="00A40616" w:rsidP="00916B67">
            <w:pPr>
              <w:rPr>
                <w:rFonts w:eastAsia="Times New Roman"/>
              </w:rPr>
            </w:pPr>
            <w:r w:rsidRPr="003D4B7A">
              <w:rPr>
                <w:rFonts w:eastAsia="Times New Roman"/>
              </w:rPr>
              <w:t>L’appel à projets dispose d’un budget de 3.000.000€, soit le financement d’environ 30 projets.</w:t>
            </w:r>
          </w:p>
        </w:tc>
      </w:tr>
      <w:tr w:rsidR="003D5D9D" w14:paraId="45BCC7BA" w14:textId="77777777" w:rsidTr="00424F17">
        <w:tc>
          <w:tcPr>
            <w:tcW w:w="851" w:type="dxa"/>
          </w:tcPr>
          <w:p w14:paraId="7EE6B1D5" w14:textId="1B0AA796" w:rsidR="003D5D9D" w:rsidRPr="00814503" w:rsidRDefault="003D5D9D" w:rsidP="00916B67">
            <w:pPr>
              <w:rPr>
                <w:b/>
                <w:bCs/>
              </w:rPr>
            </w:pPr>
            <w:r w:rsidRPr="00814503">
              <w:rPr>
                <w:b/>
                <w:bCs/>
              </w:rPr>
              <w:t>6</w:t>
            </w:r>
          </w:p>
        </w:tc>
        <w:tc>
          <w:tcPr>
            <w:tcW w:w="4253" w:type="dxa"/>
          </w:tcPr>
          <w:p w14:paraId="734141F2" w14:textId="2CAECC15" w:rsidR="003D5D9D" w:rsidRPr="00814503" w:rsidRDefault="003D5D9D" w:rsidP="00916B67">
            <w:pPr>
              <w:rPr>
                <w:b/>
                <w:bCs/>
              </w:rPr>
            </w:pPr>
            <w:r w:rsidRPr="00814503">
              <w:rPr>
                <w:b/>
                <w:bCs/>
              </w:rPr>
              <w:t>Comité d’accompagnement</w:t>
            </w:r>
          </w:p>
        </w:tc>
        <w:tc>
          <w:tcPr>
            <w:tcW w:w="5245" w:type="dxa"/>
          </w:tcPr>
          <w:p w14:paraId="298BCDA3" w14:textId="77777777" w:rsidR="003D5D9D" w:rsidRDefault="003D5D9D" w:rsidP="00916B67"/>
        </w:tc>
      </w:tr>
      <w:tr w:rsidR="00424F17" w14:paraId="1CC07DC8" w14:textId="77777777" w:rsidTr="00424F17">
        <w:tc>
          <w:tcPr>
            <w:tcW w:w="851" w:type="dxa"/>
          </w:tcPr>
          <w:p w14:paraId="7054ABFC" w14:textId="77777777" w:rsidR="00424F17" w:rsidRPr="00814503" w:rsidRDefault="00424F17" w:rsidP="00916B67">
            <w:pPr>
              <w:rPr>
                <w:b/>
                <w:bCs/>
              </w:rPr>
            </w:pPr>
          </w:p>
        </w:tc>
        <w:tc>
          <w:tcPr>
            <w:tcW w:w="4253" w:type="dxa"/>
          </w:tcPr>
          <w:p w14:paraId="7B56CF6A" w14:textId="77777777" w:rsidR="00424F17" w:rsidRPr="00814503" w:rsidRDefault="00424F17" w:rsidP="00916B67">
            <w:pPr>
              <w:rPr>
                <w:b/>
                <w:bCs/>
              </w:rPr>
            </w:pPr>
          </w:p>
        </w:tc>
        <w:tc>
          <w:tcPr>
            <w:tcW w:w="5245" w:type="dxa"/>
          </w:tcPr>
          <w:p w14:paraId="4C6012DD" w14:textId="77777777" w:rsidR="00424F17" w:rsidRDefault="00424F17" w:rsidP="00916B67"/>
        </w:tc>
      </w:tr>
      <w:tr w:rsidR="003D5D9D" w14:paraId="1C40C51C" w14:textId="77777777" w:rsidTr="00424F17">
        <w:tc>
          <w:tcPr>
            <w:tcW w:w="851" w:type="dxa"/>
          </w:tcPr>
          <w:p w14:paraId="72D98988" w14:textId="02CBEE8D" w:rsidR="003D5D9D" w:rsidRPr="00814503" w:rsidRDefault="003D5D9D" w:rsidP="00916B67">
            <w:pPr>
              <w:rPr>
                <w:b/>
                <w:bCs/>
              </w:rPr>
            </w:pPr>
            <w:r w:rsidRPr="00814503">
              <w:rPr>
                <w:b/>
                <w:bCs/>
              </w:rPr>
              <w:t>7</w:t>
            </w:r>
          </w:p>
        </w:tc>
        <w:tc>
          <w:tcPr>
            <w:tcW w:w="4253" w:type="dxa"/>
          </w:tcPr>
          <w:p w14:paraId="1E7E1800" w14:textId="7303DBAF" w:rsidR="003D5D9D" w:rsidRPr="00814503" w:rsidRDefault="003D5D9D" w:rsidP="00916B67">
            <w:pPr>
              <w:rPr>
                <w:b/>
                <w:bCs/>
              </w:rPr>
            </w:pPr>
            <w:r w:rsidRPr="00814503">
              <w:rPr>
                <w:b/>
                <w:bCs/>
              </w:rPr>
              <w:t>Rapport final</w:t>
            </w:r>
          </w:p>
        </w:tc>
        <w:tc>
          <w:tcPr>
            <w:tcW w:w="5245" w:type="dxa"/>
          </w:tcPr>
          <w:p w14:paraId="666B798F" w14:textId="77777777" w:rsidR="003D5D9D" w:rsidRDefault="003D5D9D" w:rsidP="00916B67"/>
        </w:tc>
      </w:tr>
      <w:tr w:rsidR="003D5D9D" w14:paraId="2CDD50CA" w14:textId="77777777" w:rsidTr="00424F17">
        <w:tc>
          <w:tcPr>
            <w:tcW w:w="851" w:type="dxa"/>
          </w:tcPr>
          <w:p w14:paraId="5A1505B1" w14:textId="38AC0317" w:rsidR="003D5D9D" w:rsidRDefault="003D5D9D" w:rsidP="00916B67">
            <w:r>
              <w:t>7.1</w:t>
            </w:r>
          </w:p>
        </w:tc>
        <w:tc>
          <w:tcPr>
            <w:tcW w:w="4253" w:type="dxa"/>
          </w:tcPr>
          <w:p w14:paraId="738836E8" w14:textId="62E56865" w:rsidR="003D5D9D" w:rsidRDefault="003D5D9D" w:rsidP="00916B67">
            <w:r>
              <w:t>Le modèle de rapport final est-il déjà disponible ?</w:t>
            </w:r>
          </w:p>
        </w:tc>
        <w:tc>
          <w:tcPr>
            <w:tcW w:w="5245" w:type="dxa"/>
          </w:tcPr>
          <w:p w14:paraId="4BAF59CB" w14:textId="2DB97F05" w:rsidR="003D5D9D" w:rsidRDefault="0014182E" w:rsidP="00916B67">
            <w:r>
              <w:t>Non, il sera transmis aux lauréats de l’appel</w:t>
            </w:r>
            <w:r w:rsidR="003D5D9D">
              <w:t>.</w:t>
            </w:r>
          </w:p>
        </w:tc>
      </w:tr>
      <w:tr w:rsidR="003D5D9D" w14:paraId="0A07FFFD" w14:textId="77777777" w:rsidTr="00424F17">
        <w:tc>
          <w:tcPr>
            <w:tcW w:w="851" w:type="dxa"/>
          </w:tcPr>
          <w:p w14:paraId="21EAC557" w14:textId="1BFD9EF4" w:rsidR="003D5D9D" w:rsidRDefault="003D5D9D" w:rsidP="00916B67">
            <w:r>
              <w:t>7.2</w:t>
            </w:r>
          </w:p>
        </w:tc>
        <w:tc>
          <w:tcPr>
            <w:tcW w:w="4253" w:type="dxa"/>
          </w:tcPr>
          <w:p w14:paraId="46A16DDA" w14:textId="68225D24" w:rsidR="003D5D9D" w:rsidRPr="007A52D2" w:rsidRDefault="003D5D9D" w:rsidP="00916B67">
            <w:r w:rsidRPr="007A52D2">
              <w:t>Quel est le délai pour transmettre le rapport final ?</w:t>
            </w:r>
          </w:p>
        </w:tc>
        <w:tc>
          <w:tcPr>
            <w:tcW w:w="5245" w:type="dxa"/>
          </w:tcPr>
          <w:p w14:paraId="3A001678" w14:textId="0186370E" w:rsidR="003D5D9D" w:rsidRPr="007A52D2" w:rsidRDefault="003D5D9D" w:rsidP="00916B67">
            <w:r w:rsidRPr="007A52D2">
              <w:t xml:space="preserve">Le </w:t>
            </w:r>
            <w:proofErr w:type="gramStart"/>
            <w:r w:rsidRPr="007A52D2">
              <w:t>timing</w:t>
            </w:r>
            <w:proofErr w:type="gramEnd"/>
            <w:r w:rsidRPr="007A52D2">
              <w:t xml:space="preserve"> n’est pas encore défini</w:t>
            </w:r>
            <w:r w:rsidR="0014182E" w:rsidRPr="007A52D2">
              <w:t>.</w:t>
            </w:r>
          </w:p>
        </w:tc>
      </w:tr>
    </w:tbl>
    <w:p w14:paraId="47B19E5C" w14:textId="77777777" w:rsidR="006F32D4" w:rsidRDefault="006F32D4"/>
    <w:p w14:paraId="3592A6B4" w14:textId="77777777" w:rsidR="006F32D4" w:rsidRDefault="006F32D4"/>
    <w:p w14:paraId="0EEDF8FE" w14:textId="77777777" w:rsidR="006F32D4" w:rsidRDefault="006F32D4"/>
    <w:p w14:paraId="74993C25" w14:textId="77777777" w:rsidR="006F32D4" w:rsidRDefault="006F32D4"/>
    <w:sectPr w:rsidR="006F32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68A3" w14:textId="77777777" w:rsidR="003F73D7" w:rsidRDefault="003F73D7" w:rsidP="00070C17">
      <w:pPr>
        <w:spacing w:before="0" w:after="0" w:line="240" w:lineRule="auto"/>
      </w:pPr>
      <w:r>
        <w:separator/>
      </w:r>
    </w:p>
  </w:endnote>
  <w:endnote w:type="continuationSeparator" w:id="0">
    <w:p w14:paraId="215342DC" w14:textId="77777777" w:rsidR="003F73D7" w:rsidRDefault="003F73D7" w:rsidP="00070C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608201"/>
      <w:docPartObj>
        <w:docPartGallery w:val="Page Numbers (Bottom of Page)"/>
        <w:docPartUnique/>
      </w:docPartObj>
    </w:sdtPr>
    <w:sdtEndPr/>
    <w:sdtContent>
      <w:p w14:paraId="434C0879" w14:textId="7F7C9873" w:rsidR="003D10C4" w:rsidRDefault="003D10C4">
        <w:pPr>
          <w:pStyle w:val="Pieddepage"/>
          <w:jc w:val="right"/>
        </w:pPr>
        <w:r>
          <w:fldChar w:fldCharType="begin"/>
        </w:r>
        <w:r>
          <w:instrText>PAGE   \* MERGEFORMAT</w:instrText>
        </w:r>
        <w:r>
          <w:fldChar w:fldCharType="separate"/>
        </w:r>
        <w:r>
          <w:rPr>
            <w:lang w:val="fr-FR"/>
          </w:rPr>
          <w:t>2</w:t>
        </w:r>
        <w:r>
          <w:fldChar w:fldCharType="end"/>
        </w:r>
      </w:p>
    </w:sdtContent>
  </w:sdt>
  <w:p w14:paraId="506ED8BD" w14:textId="77777777" w:rsidR="003D10C4" w:rsidRDefault="003D10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F2C2" w14:textId="77777777" w:rsidR="003F73D7" w:rsidRDefault="003F73D7" w:rsidP="00070C17">
      <w:pPr>
        <w:spacing w:before="0" w:after="0" w:line="240" w:lineRule="auto"/>
      </w:pPr>
      <w:r>
        <w:separator/>
      </w:r>
    </w:p>
  </w:footnote>
  <w:footnote w:type="continuationSeparator" w:id="0">
    <w:p w14:paraId="270A39D3" w14:textId="77777777" w:rsidR="003F73D7" w:rsidRDefault="003F73D7" w:rsidP="00070C1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08D8"/>
    <w:multiLevelType w:val="hybridMultilevel"/>
    <w:tmpl w:val="439057F4"/>
    <w:lvl w:ilvl="0" w:tplc="6928C326">
      <w:numFmt w:val="bullet"/>
      <w:lvlText w:val="-"/>
      <w:lvlJc w:val="left"/>
      <w:pPr>
        <w:ind w:left="720" w:hanging="360"/>
      </w:pPr>
      <w:rPr>
        <w:rFonts w:ascii="Calibri" w:eastAsia="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49447D90"/>
    <w:multiLevelType w:val="hybridMultilevel"/>
    <w:tmpl w:val="F10AB1C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C7427EB"/>
    <w:multiLevelType w:val="hybridMultilevel"/>
    <w:tmpl w:val="0988DF8C"/>
    <w:lvl w:ilvl="0" w:tplc="96B2D24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7C40784"/>
    <w:multiLevelType w:val="multilevel"/>
    <w:tmpl w:val="1060843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17"/>
    <w:rsid w:val="00012AD3"/>
    <w:rsid w:val="0004686D"/>
    <w:rsid w:val="000605DE"/>
    <w:rsid w:val="00070C17"/>
    <w:rsid w:val="000804AC"/>
    <w:rsid w:val="00090693"/>
    <w:rsid w:val="000A2706"/>
    <w:rsid w:val="000B0B0E"/>
    <w:rsid w:val="000C168A"/>
    <w:rsid w:val="0012251F"/>
    <w:rsid w:val="0014182E"/>
    <w:rsid w:val="001502CA"/>
    <w:rsid w:val="00192484"/>
    <w:rsid w:val="00195832"/>
    <w:rsid w:val="001A0EB9"/>
    <w:rsid w:val="001A663A"/>
    <w:rsid w:val="001B3844"/>
    <w:rsid w:val="00213C4C"/>
    <w:rsid w:val="0021731D"/>
    <w:rsid w:val="002C6625"/>
    <w:rsid w:val="00306F0A"/>
    <w:rsid w:val="003115A6"/>
    <w:rsid w:val="00356720"/>
    <w:rsid w:val="00363466"/>
    <w:rsid w:val="00371A12"/>
    <w:rsid w:val="00371CD5"/>
    <w:rsid w:val="00373146"/>
    <w:rsid w:val="003D10C4"/>
    <w:rsid w:val="003D4B7A"/>
    <w:rsid w:val="003D5D9D"/>
    <w:rsid w:val="003F73D7"/>
    <w:rsid w:val="00424F17"/>
    <w:rsid w:val="00474EB6"/>
    <w:rsid w:val="004838DE"/>
    <w:rsid w:val="004935B7"/>
    <w:rsid w:val="004A2EA3"/>
    <w:rsid w:val="004D6605"/>
    <w:rsid w:val="004D7563"/>
    <w:rsid w:val="004E218F"/>
    <w:rsid w:val="00523EB2"/>
    <w:rsid w:val="00530259"/>
    <w:rsid w:val="005357F4"/>
    <w:rsid w:val="005441B3"/>
    <w:rsid w:val="00564839"/>
    <w:rsid w:val="00567F3D"/>
    <w:rsid w:val="00576E62"/>
    <w:rsid w:val="005873F9"/>
    <w:rsid w:val="005A1FC7"/>
    <w:rsid w:val="005D5B32"/>
    <w:rsid w:val="00640203"/>
    <w:rsid w:val="00664E8D"/>
    <w:rsid w:val="006678A6"/>
    <w:rsid w:val="00671868"/>
    <w:rsid w:val="00676739"/>
    <w:rsid w:val="00676BFF"/>
    <w:rsid w:val="006B6833"/>
    <w:rsid w:val="006F270D"/>
    <w:rsid w:val="006F32D4"/>
    <w:rsid w:val="006F3A88"/>
    <w:rsid w:val="0070391A"/>
    <w:rsid w:val="00712F8B"/>
    <w:rsid w:val="00725669"/>
    <w:rsid w:val="00730EF5"/>
    <w:rsid w:val="00747070"/>
    <w:rsid w:val="007A52D2"/>
    <w:rsid w:val="007E0296"/>
    <w:rsid w:val="00814503"/>
    <w:rsid w:val="00816183"/>
    <w:rsid w:val="00870783"/>
    <w:rsid w:val="00873B62"/>
    <w:rsid w:val="008A3E0C"/>
    <w:rsid w:val="008A3F9B"/>
    <w:rsid w:val="008B5BE1"/>
    <w:rsid w:val="008E7FD6"/>
    <w:rsid w:val="008F629D"/>
    <w:rsid w:val="00916B67"/>
    <w:rsid w:val="00956CF6"/>
    <w:rsid w:val="00962213"/>
    <w:rsid w:val="00965E9B"/>
    <w:rsid w:val="0098707B"/>
    <w:rsid w:val="00996895"/>
    <w:rsid w:val="009B4759"/>
    <w:rsid w:val="00A13884"/>
    <w:rsid w:val="00A40616"/>
    <w:rsid w:val="00A931D4"/>
    <w:rsid w:val="00AA04D3"/>
    <w:rsid w:val="00AB0536"/>
    <w:rsid w:val="00AD0472"/>
    <w:rsid w:val="00AE3FA1"/>
    <w:rsid w:val="00B21922"/>
    <w:rsid w:val="00B36878"/>
    <w:rsid w:val="00B441A0"/>
    <w:rsid w:val="00B77CF5"/>
    <w:rsid w:val="00B8483E"/>
    <w:rsid w:val="00B95037"/>
    <w:rsid w:val="00B97E7A"/>
    <w:rsid w:val="00BB7889"/>
    <w:rsid w:val="00C04F6E"/>
    <w:rsid w:val="00C05A69"/>
    <w:rsid w:val="00C275E2"/>
    <w:rsid w:val="00C73BCC"/>
    <w:rsid w:val="00C875CE"/>
    <w:rsid w:val="00C90279"/>
    <w:rsid w:val="00CA7599"/>
    <w:rsid w:val="00CC0125"/>
    <w:rsid w:val="00CC2D95"/>
    <w:rsid w:val="00CC7676"/>
    <w:rsid w:val="00CD6691"/>
    <w:rsid w:val="00D053AC"/>
    <w:rsid w:val="00D4312F"/>
    <w:rsid w:val="00D657C3"/>
    <w:rsid w:val="00D65F5A"/>
    <w:rsid w:val="00D74537"/>
    <w:rsid w:val="00D846A5"/>
    <w:rsid w:val="00D86FDD"/>
    <w:rsid w:val="00DC0CC7"/>
    <w:rsid w:val="00DC558E"/>
    <w:rsid w:val="00E411F5"/>
    <w:rsid w:val="00E44D0B"/>
    <w:rsid w:val="00E61A68"/>
    <w:rsid w:val="00E84DF5"/>
    <w:rsid w:val="00E87269"/>
    <w:rsid w:val="00EC7ACD"/>
    <w:rsid w:val="00EE6B65"/>
    <w:rsid w:val="00F36A56"/>
    <w:rsid w:val="00F83D36"/>
    <w:rsid w:val="00FA33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49C4D"/>
  <w15:chartTrackingRefBased/>
  <w15:docId w15:val="{3A79AD07-5936-4B83-AC6F-1FF80035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D4"/>
    <w:pPr>
      <w:spacing w:before="120"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C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2F8B"/>
    <w:pPr>
      <w:ind w:left="720"/>
      <w:contextualSpacing/>
    </w:pPr>
  </w:style>
  <w:style w:type="paragraph" w:styleId="Listenumros">
    <w:name w:val="List Number"/>
    <w:basedOn w:val="Paragraphedeliste"/>
    <w:autoRedefine/>
    <w:uiPriority w:val="99"/>
    <w:unhideWhenUsed/>
    <w:rsid w:val="00956CF6"/>
    <w:pPr>
      <w:spacing w:before="240" w:after="240" w:line="240" w:lineRule="auto"/>
      <w:ind w:left="0"/>
      <w:contextualSpacing w:val="0"/>
    </w:pPr>
    <w:rPr>
      <w:rFonts w:cstheme="minorHAnsi"/>
      <w:b/>
      <w:bCs/>
    </w:rPr>
  </w:style>
  <w:style w:type="paragraph" w:customStyle="1" w:styleId="retraitpuce2">
    <w:name w:val="retrait puce 2"/>
    <w:basedOn w:val="Normal"/>
    <w:rsid w:val="00213C4C"/>
    <w:pPr>
      <w:autoSpaceDE w:val="0"/>
      <w:autoSpaceDN w:val="0"/>
      <w:spacing w:line="252" w:lineRule="auto"/>
      <w:ind w:left="1418"/>
    </w:pPr>
    <w:rPr>
      <w:rFonts w:ascii="Calibri" w:hAnsi="Calibri" w:cs="Calibri"/>
      <w:color w:val="000000"/>
    </w:rPr>
  </w:style>
  <w:style w:type="paragraph" w:styleId="Notedebasdepage">
    <w:name w:val="footnote text"/>
    <w:basedOn w:val="Normal"/>
    <w:link w:val="NotedebasdepageCar"/>
    <w:semiHidden/>
    <w:rsid w:val="00AA04D3"/>
    <w:pPr>
      <w:widowControl w:val="0"/>
      <w:suppressLineNumbers/>
      <w:suppressAutoHyphens/>
      <w:spacing w:line="240" w:lineRule="auto"/>
      <w:ind w:left="283" w:hanging="283"/>
    </w:pPr>
    <w:rPr>
      <w:rFonts w:ascii="Calibri" w:eastAsia="Lucida Sans Unicode" w:hAnsi="Calibri" w:cs="StarSymbol"/>
      <w:sz w:val="16"/>
      <w:szCs w:val="20"/>
      <w:lang w:val="fr-FR" w:eastAsia="ar-SA"/>
    </w:rPr>
  </w:style>
  <w:style w:type="character" w:customStyle="1" w:styleId="NotedebasdepageCar">
    <w:name w:val="Note de bas de page Car"/>
    <w:basedOn w:val="Policepardfaut"/>
    <w:link w:val="Notedebasdepage"/>
    <w:semiHidden/>
    <w:rsid w:val="00AA04D3"/>
    <w:rPr>
      <w:rFonts w:ascii="Calibri" w:eastAsia="Lucida Sans Unicode" w:hAnsi="Calibri" w:cs="StarSymbol"/>
      <w:sz w:val="16"/>
      <w:szCs w:val="20"/>
      <w:lang w:val="fr-FR" w:eastAsia="ar-SA"/>
    </w:rPr>
  </w:style>
  <w:style w:type="paragraph" w:styleId="En-tte">
    <w:name w:val="header"/>
    <w:basedOn w:val="Normal"/>
    <w:link w:val="En-tteCar"/>
    <w:uiPriority w:val="99"/>
    <w:unhideWhenUsed/>
    <w:rsid w:val="003D10C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D10C4"/>
  </w:style>
  <w:style w:type="paragraph" w:styleId="Pieddepage">
    <w:name w:val="footer"/>
    <w:basedOn w:val="Normal"/>
    <w:link w:val="PieddepageCar"/>
    <w:uiPriority w:val="99"/>
    <w:unhideWhenUsed/>
    <w:rsid w:val="003D10C4"/>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D1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7770">
      <w:bodyDiv w:val="1"/>
      <w:marLeft w:val="0"/>
      <w:marRight w:val="0"/>
      <w:marTop w:val="0"/>
      <w:marBottom w:val="0"/>
      <w:divBdr>
        <w:top w:val="none" w:sz="0" w:space="0" w:color="auto"/>
        <w:left w:val="none" w:sz="0" w:space="0" w:color="auto"/>
        <w:bottom w:val="none" w:sz="0" w:space="0" w:color="auto"/>
        <w:right w:val="none" w:sz="0" w:space="0" w:color="auto"/>
      </w:divBdr>
    </w:div>
    <w:div w:id="189800427">
      <w:bodyDiv w:val="1"/>
      <w:marLeft w:val="0"/>
      <w:marRight w:val="0"/>
      <w:marTop w:val="0"/>
      <w:marBottom w:val="0"/>
      <w:divBdr>
        <w:top w:val="none" w:sz="0" w:space="0" w:color="auto"/>
        <w:left w:val="none" w:sz="0" w:space="0" w:color="auto"/>
        <w:bottom w:val="none" w:sz="0" w:space="0" w:color="auto"/>
        <w:right w:val="none" w:sz="0" w:space="0" w:color="auto"/>
      </w:divBdr>
    </w:div>
    <w:div w:id="209846362">
      <w:bodyDiv w:val="1"/>
      <w:marLeft w:val="0"/>
      <w:marRight w:val="0"/>
      <w:marTop w:val="0"/>
      <w:marBottom w:val="0"/>
      <w:divBdr>
        <w:top w:val="none" w:sz="0" w:space="0" w:color="auto"/>
        <w:left w:val="none" w:sz="0" w:space="0" w:color="auto"/>
        <w:bottom w:val="none" w:sz="0" w:space="0" w:color="auto"/>
        <w:right w:val="none" w:sz="0" w:space="0" w:color="auto"/>
      </w:divBdr>
    </w:div>
    <w:div w:id="286396535">
      <w:bodyDiv w:val="1"/>
      <w:marLeft w:val="0"/>
      <w:marRight w:val="0"/>
      <w:marTop w:val="0"/>
      <w:marBottom w:val="0"/>
      <w:divBdr>
        <w:top w:val="none" w:sz="0" w:space="0" w:color="auto"/>
        <w:left w:val="none" w:sz="0" w:space="0" w:color="auto"/>
        <w:bottom w:val="none" w:sz="0" w:space="0" w:color="auto"/>
        <w:right w:val="none" w:sz="0" w:space="0" w:color="auto"/>
      </w:divBdr>
    </w:div>
    <w:div w:id="646787670">
      <w:bodyDiv w:val="1"/>
      <w:marLeft w:val="0"/>
      <w:marRight w:val="0"/>
      <w:marTop w:val="0"/>
      <w:marBottom w:val="0"/>
      <w:divBdr>
        <w:top w:val="none" w:sz="0" w:space="0" w:color="auto"/>
        <w:left w:val="none" w:sz="0" w:space="0" w:color="auto"/>
        <w:bottom w:val="none" w:sz="0" w:space="0" w:color="auto"/>
        <w:right w:val="none" w:sz="0" w:space="0" w:color="auto"/>
      </w:divBdr>
    </w:div>
    <w:div w:id="697898854">
      <w:bodyDiv w:val="1"/>
      <w:marLeft w:val="0"/>
      <w:marRight w:val="0"/>
      <w:marTop w:val="0"/>
      <w:marBottom w:val="0"/>
      <w:divBdr>
        <w:top w:val="none" w:sz="0" w:space="0" w:color="auto"/>
        <w:left w:val="none" w:sz="0" w:space="0" w:color="auto"/>
        <w:bottom w:val="none" w:sz="0" w:space="0" w:color="auto"/>
        <w:right w:val="none" w:sz="0" w:space="0" w:color="auto"/>
      </w:divBdr>
    </w:div>
    <w:div w:id="885261925">
      <w:bodyDiv w:val="1"/>
      <w:marLeft w:val="0"/>
      <w:marRight w:val="0"/>
      <w:marTop w:val="0"/>
      <w:marBottom w:val="0"/>
      <w:divBdr>
        <w:top w:val="none" w:sz="0" w:space="0" w:color="auto"/>
        <w:left w:val="none" w:sz="0" w:space="0" w:color="auto"/>
        <w:bottom w:val="none" w:sz="0" w:space="0" w:color="auto"/>
        <w:right w:val="none" w:sz="0" w:space="0" w:color="auto"/>
      </w:divBdr>
    </w:div>
    <w:div w:id="1371104438">
      <w:bodyDiv w:val="1"/>
      <w:marLeft w:val="0"/>
      <w:marRight w:val="0"/>
      <w:marTop w:val="0"/>
      <w:marBottom w:val="0"/>
      <w:divBdr>
        <w:top w:val="none" w:sz="0" w:space="0" w:color="auto"/>
        <w:left w:val="none" w:sz="0" w:space="0" w:color="auto"/>
        <w:bottom w:val="none" w:sz="0" w:space="0" w:color="auto"/>
        <w:right w:val="none" w:sz="0" w:space="0" w:color="auto"/>
      </w:divBdr>
    </w:div>
    <w:div w:id="1429961932">
      <w:bodyDiv w:val="1"/>
      <w:marLeft w:val="0"/>
      <w:marRight w:val="0"/>
      <w:marTop w:val="0"/>
      <w:marBottom w:val="0"/>
      <w:divBdr>
        <w:top w:val="none" w:sz="0" w:space="0" w:color="auto"/>
        <w:left w:val="none" w:sz="0" w:space="0" w:color="auto"/>
        <w:bottom w:val="none" w:sz="0" w:space="0" w:color="auto"/>
        <w:right w:val="none" w:sz="0" w:space="0" w:color="auto"/>
      </w:divBdr>
    </w:div>
    <w:div w:id="1585141461">
      <w:bodyDiv w:val="1"/>
      <w:marLeft w:val="0"/>
      <w:marRight w:val="0"/>
      <w:marTop w:val="0"/>
      <w:marBottom w:val="0"/>
      <w:divBdr>
        <w:top w:val="none" w:sz="0" w:space="0" w:color="auto"/>
        <w:left w:val="none" w:sz="0" w:space="0" w:color="auto"/>
        <w:bottom w:val="none" w:sz="0" w:space="0" w:color="auto"/>
        <w:right w:val="none" w:sz="0" w:space="0" w:color="auto"/>
      </w:divBdr>
    </w:div>
    <w:div w:id="21126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5434</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CORMANN Constance</dc:creator>
  <cp:keywords/>
  <dc:description/>
  <cp:lastModifiedBy>BARBEAUX Julie</cp:lastModifiedBy>
  <cp:revision>2</cp:revision>
  <cp:lastPrinted>2022-06-14T09:08:00Z</cp:lastPrinted>
  <dcterms:created xsi:type="dcterms:W3CDTF">2022-06-14T09:40:00Z</dcterms:created>
  <dcterms:modified xsi:type="dcterms:W3CDTF">2022-06-14T09:40:00Z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2022-06-10T13:51:41Z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ec236531-5a06-4877-95f6-d3b9876ee1dd</vt:lpwstr>
  </property>
  <property fmtid="{D5CDD505-2E9C-101B-9397-08002B2CF9AE}" pid="8" name="MSIP_Label_97a477d1-147d-4e34-b5e3-7b26d2f44870_ContentBits">
    <vt:lpwstr>0</vt:lpwstr>
  </property>
</Properties>
</file>